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F4889">
      <w:pPr>
        <w:jc w:val="left"/>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件3</w:t>
      </w:r>
    </w:p>
    <w:p w14:paraId="795658CE">
      <w:pPr>
        <w:jc w:val="center"/>
        <w:outlineLvl w:val="1"/>
        <w:rPr>
          <w:rFonts w:hint="default" w:ascii="Times New Roman" w:hAnsi="Times New Roman" w:eastAsia="方正小标宋简体" w:cs="Times New Roman"/>
          <w:bCs/>
          <w:sz w:val="36"/>
          <w:szCs w:val="36"/>
          <w:highlight w:val="none"/>
        </w:rPr>
      </w:pPr>
      <w:r>
        <w:rPr>
          <w:rFonts w:hint="default" w:ascii="Times New Roman" w:hAnsi="Times New Roman" w:eastAsia="方正小标宋简体" w:cs="Times New Roman"/>
          <w:bCs/>
          <w:sz w:val="36"/>
          <w:szCs w:val="36"/>
          <w:highlight w:val="none"/>
        </w:rPr>
        <w:t>绿色</w:t>
      </w:r>
      <w:r>
        <w:rPr>
          <w:rFonts w:hint="default" w:ascii="Times New Roman" w:hAnsi="Times New Roman" w:eastAsia="方正小标宋简体" w:cs="Times New Roman"/>
          <w:bCs/>
          <w:sz w:val="36"/>
          <w:szCs w:val="36"/>
          <w:highlight w:val="none"/>
          <w:lang w:val="en"/>
        </w:rPr>
        <w:t>工业</w:t>
      </w:r>
      <w:r>
        <w:rPr>
          <w:rFonts w:hint="default" w:ascii="Times New Roman" w:hAnsi="Times New Roman" w:eastAsia="方正小标宋简体" w:cs="Times New Roman"/>
          <w:bCs/>
          <w:sz w:val="36"/>
          <w:szCs w:val="36"/>
          <w:highlight w:val="none"/>
        </w:rPr>
        <w:t>园区评价要求</w:t>
      </w:r>
    </w:p>
    <w:p w14:paraId="0236545A">
      <w:pPr>
        <w:ind w:firstLine="643" w:firstLineChars="200"/>
        <w:rPr>
          <w:rFonts w:hint="default" w:ascii="Times New Roman" w:hAnsi="Times New Roman" w:eastAsia="仿宋_GB2312" w:cs="Times New Roman"/>
          <w:b/>
          <w:sz w:val="32"/>
          <w:szCs w:val="32"/>
        </w:rPr>
      </w:pPr>
    </w:p>
    <w:p w14:paraId="171DCC05">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14:paraId="4C88F2F2">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（一）基本要求</w:t>
      </w:r>
    </w:p>
    <w:p w14:paraId="7F96803B">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1.国家和地方绿色、循环和低碳相关法律法规、政策和标准应得到有效的贯彻执行。</w:t>
      </w:r>
      <w:r>
        <w:rPr>
          <w:rFonts w:hint="default" w:ascii="Times New Roman" w:hAnsi="Times New Roman" w:eastAsia="仿宋" w:cs="Times New Roman"/>
          <w:sz w:val="32"/>
          <w:szCs w:val="32"/>
          <w:lang w:val="en-US" w:eastAsia="zh-CN"/>
        </w:rPr>
        <w:t>涉及</w:t>
      </w:r>
      <w:r>
        <w:rPr>
          <w:rFonts w:hint="default" w:ascii="Times New Roman" w:hAnsi="Times New Roman" w:eastAsia="仿宋" w:cs="Times New Roman"/>
          <w:sz w:val="32"/>
          <w:szCs w:val="32"/>
          <w:highlight w:val="none"/>
          <w:lang w:val="en-US" w:eastAsia="zh-CN"/>
        </w:rPr>
        <w:t>化工园区的应通过省级人民政府或其授权机构认定。</w:t>
      </w:r>
    </w:p>
    <w:p w14:paraId="34651F66">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2.近三年，未发生重大污染事故或重大生态破坏事件，完成国家或地方政府下达的节能减排指标，碳排放强度持续下降。</w:t>
      </w:r>
    </w:p>
    <w:p w14:paraId="5492AE04">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3.环境质量达到国家或地方规定的环境功能区环境质量标准，园区内企业污染物达标排放，各类重点污染物排放总量均不超过国家或地方的总量控制要求。</w:t>
      </w:r>
    </w:p>
    <w:p w14:paraId="6441A278">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4.园区</w:t>
      </w:r>
      <w:r>
        <w:rPr>
          <w:rFonts w:hint="default" w:ascii="Times New Roman" w:hAnsi="Times New Roman" w:eastAsia="仿宋" w:cs="Times New Roman"/>
          <w:sz w:val="32"/>
          <w:szCs w:val="32"/>
          <w:lang w:eastAsia="zh-CN"/>
        </w:rPr>
        <w:t>内属于《清洁生产促进法》中规定的应当实施强制性清洁生产审核的企业（评价期当年及之前公布的重点企业清洁生产审核名单中的企业）应</w:t>
      </w:r>
      <w:r>
        <w:rPr>
          <w:rFonts w:hint="default" w:ascii="Times New Roman" w:hAnsi="Times New Roman" w:eastAsia="仿宋" w:cs="Times New Roman"/>
          <w:sz w:val="32"/>
          <w:szCs w:val="32"/>
        </w:rPr>
        <w:t>100%实施清洁生产审核。</w:t>
      </w:r>
    </w:p>
    <w:p w14:paraId="16F24C55">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5.园区企业不应使用国家列入淘汰目录的落后生产技术、工艺和设备，不应生产国家列入淘汰目录的产品。</w:t>
      </w:r>
    </w:p>
    <w:p w14:paraId="5713C8B9">
      <w:pPr>
        <w:ind w:firstLine="63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rPr>
        <w:t>6.园区建</w:t>
      </w:r>
      <w:r>
        <w:rPr>
          <w:rFonts w:hint="default" w:ascii="Times New Roman" w:hAnsi="Times New Roman" w:eastAsia="仿宋" w:cs="Times New Roman"/>
          <w:sz w:val="32"/>
          <w:szCs w:val="32"/>
          <w:lang w:val="en-US" w:eastAsia="zh-CN"/>
        </w:rPr>
        <w:t>有</w:t>
      </w:r>
      <w:r>
        <w:rPr>
          <w:rFonts w:hint="default" w:ascii="Times New Roman" w:hAnsi="Times New Roman" w:eastAsia="仿宋" w:cs="Times New Roman"/>
          <w:sz w:val="32"/>
          <w:szCs w:val="32"/>
        </w:rPr>
        <w:t>履行绿色发展工作职责的专门机构、配备2名以上专职工作人员。</w:t>
      </w:r>
    </w:p>
    <w:p w14:paraId="2B154A39">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7</w:t>
      </w:r>
      <w:r>
        <w:rPr>
          <w:rFonts w:hint="default" w:ascii="Times New Roman" w:hAnsi="Times New Roman" w:eastAsia="仿宋" w:cs="Times New Roman"/>
          <w:sz w:val="32"/>
          <w:szCs w:val="32"/>
        </w:rPr>
        <w:t>.鼓励园区建立并运行环境管理体系和能源管理体系，建立园区能源监测管理平台。</w:t>
      </w:r>
    </w:p>
    <w:p w14:paraId="156B1DB0">
      <w:pPr>
        <w:ind w:left="0" w:leftChars="0" w:firstLine="630" w:firstLineChars="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rPr>
        <w:t>8</w:t>
      </w:r>
      <w:r>
        <w:rPr>
          <w:rFonts w:hint="default" w:ascii="Times New Roman" w:hAnsi="Times New Roman" w:eastAsia="仿宋" w:cs="Times New Roman"/>
          <w:sz w:val="32"/>
          <w:szCs w:val="32"/>
        </w:rPr>
        <w:t>.鼓励园区建设并运行风能、太阳能等可再生能源应用设施。</w:t>
      </w:r>
    </w:p>
    <w:p w14:paraId="21C4DC83">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（二）评价指标构成</w:t>
      </w:r>
    </w:p>
    <w:p w14:paraId="5075965A">
      <w:pPr>
        <w:ind w:firstLine="63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评价指标体系包括能源利用绿色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指标6个方面。</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如附表</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1所示。</w:t>
      </w:r>
    </w:p>
    <w:p w14:paraId="2BE9C5BA">
      <w:pPr>
        <w:ind w:firstLine="63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1 </w:t>
      </w:r>
      <w:r>
        <w:rPr>
          <w:rFonts w:hint="eastAsia" w:ascii="Times New Roman" w:hAnsi="Times New Roman" w:eastAsia="黑体" w:cs="Times New Roman"/>
          <w:sz w:val="28"/>
          <w:szCs w:val="28"/>
          <w:lang w:eastAsia="zh-CN"/>
        </w:rPr>
        <w:t>绿色工业园区</w:t>
      </w:r>
      <w:r>
        <w:rPr>
          <w:rFonts w:hint="default" w:ascii="Times New Roman" w:hAnsi="Times New Roman" w:eastAsia="黑体" w:cs="Times New Roman"/>
          <w:sz w:val="28"/>
          <w:szCs w:val="28"/>
        </w:rPr>
        <w:t>评价指标体系</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680"/>
        <w:gridCol w:w="1140"/>
        <w:gridCol w:w="1276"/>
        <w:gridCol w:w="1363"/>
      </w:tblGrid>
      <w:tr w14:paraId="2187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59" w:type="dxa"/>
            <w:noWrap w:val="0"/>
            <w:vAlign w:val="center"/>
          </w:tcPr>
          <w:p w14:paraId="7682DDBE">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一级指标</w:t>
            </w:r>
          </w:p>
        </w:tc>
        <w:tc>
          <w:tcPr>
            <w:tcW w:w="869" w:type="dxa"/>
            <w:noWrap w:val="0"/>
            <w:vAlign w:val="center"/>
          </w:tcPr>
          <w:p w14:paraId="242E4B26">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序号</w:t>
            </w:r>
          </w:p>
        </w:tc>
        <w:tc>
          <w:tcPr>
            <w:tcW w:w="3680" w:type="dxa"/>
            <w:noWrap w:val="0"/>
            <w:vAlign w:val="center"/>
          </w:tcPr>
          <w:p w14:paraId="33B838AA">
            <w:pPr>
              <w:adjustRightInd w:val="0"/>
              <w:snapToGrid w:val="0"/>
              <w:ind w:firstLine="562"/>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二级指标</w:t>
            </w:r>
          </w:p>
        </w:tc>
        <w:tc>
          <w:tcPr>
            <w:tcW w:w="1140" w:type="dxa"/>
            <w:noWrap w:val="0"/>
            <w:vAlign w:val="center"/>
          </w:tcPr>
          <w:p w14:paraId="3773FAA9">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单位</w:t>
            </w:r>
          </w:p>
        </w:tc>
        <w:tc>
          <w:tcPr>
            <w:tcW w:w="1276" w:type="dxa"/>
            <w:noWrap w:val="0"/>
            <w:vAlign w:val="center"/>
          </w:tcPr>
          <w:p w14:paraId="137BB32A">
            <w:pPr>
              <w:adjustRightInd w:val="0"/>
              <w:snapToGrid w:val="0"/>
              <w:jc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引领值</w:t>
            </w:r>
          </w:p>
        </w:tc>
        <w:tc>
          <w:tcPr>
            <w:tcW w:w="1363" w:type="dxa"/>
            <w:noWrap w:val="0"/>
            <w:vAlign w:val="center"/>
          </w:tcPr>
          <w:p w14:paraId="3FEC4613">
            <w:pPr>
              <w:adjustRightInd w:val="0"/>
              <w:snapToGrid w:val="0"/>
              <w:jc w:val="center"/>
              <w:rPr>
                <w:rFonts w:hint="default" w:ascii="Times New Roman" w:hAnsi="Times New Roman" w:eastAsia="仿宋_GB2312" w:cs="Times New Roman"/>
                <w:b/>
                <w:kern w:val="0"/>
                <w:sz w:val="28"/>
                <w:szCs w:val="28"/>
                <w:lang w:eastAsia="zh-CN"/>
              </w:rPr>
            </w:pPr>
            <w:r>
              <w:rPr>
                <w:rFonts w:hint="default" w:ascii="Times New Roman" w:hAnsi="Times New Roman" w:eastAsia="仿宋_GB2312" w:cs="Times New Roman"/>
                <w:b/>
                <w:kern w:val="0"/>
                <w:sz w:val="28"/>
                <w:szCs w:val="28"/>
                <w:lang w:val="en-US" w:eastAsia="zh-CN"/>
              </w:rPr>
              <w:t>类型</w:t>
            </w:r>
          </w:p>
        </w:tc>
      </w:tr>
      <w:tr w14:paraId="2981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9" w:type="dxa"/>
            <w:vMerge w:val="restart"/>
            <w:noWrap w:val="0"/>
            <w:vAlign w:val="center"/>
          </w:tcPr>
          <w:p w14:paraId="270612D0">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能源利用绿色化指标（EG）</w:t>
            </w:r>
          </w:p>
        </w:tc>
        <w:tc>
          <w:tcPr>
            <w:tcW w:w="869" w:type="dxa"/>
            <w:noWrap w:val="0"/>
            <w:vAlign w:val="center"/>
          </w:tcPr>
          <w:p w14:paraId="4CE12FB6">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3680" w:type="dxa"/>
            <w:noWrap w:val="0"/>
            <w:vAlign w:val="center"/>
          </w:tcPr>
          <w:p w14:paraId="3D656C08">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能源产出率</w:t>
            </w:r>
          </w:p>
        </w:tc>
        <w:tc>
          <w:tcPr>
            <w:tcW w:w="1140" w:type="dxa"/>
            <w:noWrap w:val="0"/>
            <w:vAlign w:val="center"/>
          </w:tcPr>
          <w:p w14:paraId="7F0A014E">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万元/tce</w:t>
            </w:r>
          </w:p>
        </w:tc>
        <w:tc>
          <w:tcPr>
            <w:tcW w:w="1276" w:type="dxa"/>
            <w:noWrap w:val="0"/>
            <w:vAlign w:val="center"/>
          </w:tcPr>
          <w:p w14:paraId="1E20D364">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noWrap w:val="0"/>
            <w:vAlign w:val="center"/>
          </w:tcPr>
          <w:p w14:paraId="7157650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46A9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1C0E4CA8">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25A98B9C">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3680" w:type="dxa"/>
            <w:noWrap w:val="0"/>
            <w:vAlign w:val="center"/>
          </w:tcPr>
          <w:p w14:paraId="23E9B86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可再生能源使用比例</w:t>
            </w:r>
          </w:p>
        </w:tc>
        <w:tc>
          <w:tcPr>
            <w:tcW w:w="1140" w:type="dxa"/>
            <w:noWrap w:val="0"/>
            <w:vAlign w:val="center"/>
          </w:tcPr>
          <w:p w14:paraId="2AFD162F">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4DC6CE62">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noWrap w:val="0"/>
            <w:vAlign w:val="center"/>
          </w:tcPr>
          <w:p w14:paraId="73911928">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12CB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41BD45CB">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7415DC1E">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3680" w:type="dxa"/>
            <w:noWrap w:val="0"/>
            <w:vAlign w:val="center"/>
          </w:tcPr>
          <w:p w14:paraId="00230218">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清洁能源使用率</w:t>
            </w:r>
          </w:p>
        </w:tc>
        <w:tc>
          <w:tcPr>
            <w:tcW w:w="1140" w:type="dxa"/>
            <w:noWrap w:val="0"/>
            <w:vAlign w:val="center"/>
          </w:tcPr>
          <w:p w14:paraId="3AB06689">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2EC7812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75</w:t>
            </w:r>
          </w:p>
        </w:tc>
        <w:tc>
          <w:tcPr>
            <w:tcW w:w="1363" w:type="dxa"/>
            <w:noWrap w:val="0"/>
            <w:vAlign w:val="center"/>
          </w:tcPr>
          <w:p w14:paraId="47F31CC8">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32A5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9" w:type="dxa"/>
            <w:vMerge w:val="restart"/>
            <w:noWrap w:val="0"/>
            <w:vAlign w:val="center"/>
          </w:tcPr>
          <w:p w14:paraId="19389C68">
            <w:pPr>
              <w:adjustRightInd w:val="0"/>
              <w:snapToGrid w:val="0"/>
              <w:jc w:val="center"/>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资源利用绿色化指标</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RG</w:t>
            </w:r>
            <w:r>
              <w:rPr>
                <w:rFonts w:hint="eastAsia" w:ascii="Times New Roman" w:hAnsi="Times New Roman" w:eastAsia="仿宋_GB2312" w:cs="Times New Roman"/>
                <w:kern w:val="0"/>
                <w:sz w:val="28"/>
                <w:szCs w:val="28"/>
                <w:lang w:eastAsia="zh-CN"/>
              </w:rPr>
              <w:t>）</w:t>
            </w:r>
          </w:p>
        </w:tc>
        <w:tc>
          <w:tcPr>
            <w:tcW w:w="869" w:type="dxa"/>
            <w:noWrap w:val="0"/>
            <w:vAlign w:val="center"/>
          </w:tcPr>
          <w:p w14:paraId="3B7DBECC">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3680" w:type="dxa"/>
            <w:noWrap w:val="0"/>
            <w:vAlign w:val="center"/>
          </w:tcPr>
          <w:p w14:paraId="3C47F60F">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水资源产出率</w:t>
            </w:r>
          </w:p>
        </w:tc>
        <w:tc>
          <w:tcPr>
            <w:tcW w:w="1140" w:type="dxa"/>
            <w:noWrap w:val="0"/>
            <w:vAlign w:val="center"/>
          </w:tcPr>
          <w:p w14:paraId="40E1A08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元/m</w:t>
            </w:r>
            <w:r>
              <w:rPr>
                <w:rFonts w:hint="default" w:ascii="Times New Roman" w:hAnsi="Times New Roman" w:eastAsia="仿宋_GB2312" w:cs="Times New Roman"/>
                <w:kern w:val="0"/>
                <w:sz w:val="28"/>
                <w:szCs w:val="28"/>
                <w:vertAlign w:val="superscript"/>
              </w:rPr>
              <w:t>3</w:t>
            </w:r>
          </w:p>
        </w:tc>
        <w:tc>
          <w:tcPr>
            <w:tcW w:w="1276" w:type="dxa"/>
            <w:noWrap w:val="0"/>
            <w:vAlign w:val="center"/>
          </w:tcPr>
          <w:p w14:paraId="2E612DCF">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1500</w:t>
            </w:r>
          </w:p>
        </w:tc>
        <w:tc>
          <w:tcPr>
            <w:tcW w:w="1363" w:type="dxa"/>
            <w:noWrap w:val="0"/>
            <w:vAlign w:val="center"/>
          </w:tcPr>
          <w:p w14:paraId="281DAC92">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1A44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3263D530">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33F76CDE">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3680" w:type="dxa"/>
            <w:noWrap w:val="0"/>
            <w:vAlign w:val="center"/>
          </w:tcPr>
          <w:p w14:paraId="6D94C6CB">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土地资源产出率</w:t>
            </w:r>
          </w:p>
        </w:tc>
        <w:tc>
          <w:tcPr>
            <w:tcW w:w="1140" w:type="dxa"/>
            <w:noWrap w:val="0"/>
            <w:vAlign w:val="center"/>
          </w:tcPr>
          <w:p w14:paraId="5A9ECD3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亿元/km</w:t>
            </w:r>
            <w:r>
              <w:rPr>
                <w:rFonts w:hint="default" w:ascii="Times New Roman" w:hAnsi="Times New Roman" w:eastAsia="仿宋_GB2312" w:cs="Times New Roman"/>
                <w:kern w:val="0"/>
                <w:sz w:val="28"/>
                <w:szCs w:val="28"/>
                <w:vertAlign w:val="superscript"/>
              </w:rPr>
              <w:t>2</w:t>
            </w:r>
          </w:p>
        </w:tc>
        <w:tc>
          <w:tcPr>
            <w:tcW w:w="1276" w:type="dxa"/>
            <w:noWrap w:val="0"/>
            <w:vAlign w:val="center"/>
          </w:tcPr>
          <w:p w14:paraId="16B05B9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noWrap w:val="0"/>
            <w:vAlign w:val="center"/>
          </w:tcPr>
          <w:p w14:paraId="254DABC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7E96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5C8D555E">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33D3F910">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3680" w:type="dxa"/>
            <w:noWrap w:val="0"/>
            <w:vAlign w:val="center"/>
          </w:tcPr>
          <w:p w14:paraId="108689C9">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工业固体废弃物综合利用率</w:t>
            </w:r>
          </w:p>
        </w:tc>
        <w:tc>
          <w:tcPr>
            <w:tcW w:w="1140" w:type="dxa"/>
            <w:noWrap w:val="0"/>
            <w:vAlign w:val="center"/>
          </w:tcPr>
          <w:p w14:paraId="6681716A">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6D9F858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95</w:t>
            </w:r>
          </w:p>
        </w:tc>
        <w:tc>
          <w:tcPr>
            <w:tcW w:w="1363" w:type="dxa"/>
            <w:noWrap w:val="0"/>
            <w:vAlign w:val="center"/>
          </w:tcPr>
          <w:p w14:paraId="3E8C8CEC">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7AA8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0E496888">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544A94CE">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3680" w:type="dxa"/>
            <w:noWrap w:val="0"/>
            <w:vAlign w:val="center"/>
          </w:tcPr>
          <w:p w14:paraId="0447C5D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工业用水重复利用率</w:t>
            </w:r>
          </w:p>
        </w:tc>
        <w:tc>
          <w:tcPr>
            <w:tcW w:w="1140" w:type="dxa"/>
            <w:noWrap w:val="0"/>
            <w:vAlign w:val="center"/>
          </w:tcPr>
          <w:p w14:paraId="05972C1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3BCBFEB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noWrap w:val="0"/>
            <w:vAlign w:val="center"/>
          </w:tcPr>
          <w:p w14:paraId="0FF5027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127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60FEF59A">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2CDF0DAE">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3680" w:type="dxa"/>
            <w:noWrap w:val="0"/>
            <w:vAlign w:val="center"/>
          </w:tcPr>
          <w:p w14:paraId="1DE899BE">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中水回用率</w:t>
            </w:r>
          </w:p>
        </w:tc>
        <w:tc>
          <w:tcPr>
            <w:tcW w:w="1140" w:type="dxa"/>
            <w:noWrap w:val="0"/>
            <w:vAlign w:val="center"/>
          </w:tcPr>
          <w:p w14:paraId="6F82946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72084DE4">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noWrap w:val="0"/>
            <w:vAlign w:val="center"/>
          </w:tcPr>
          <w:p w14:paraId="12C219B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4项指标选2项</w:t>
            </w:r>
          </w:p>
        </w:tc>
      </w:tr>
      <w:tr w14:paraId="3E58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592C08F3">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75DC5F1A">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3680" w:type="dxa"/>
            <w:noWrap w:val="0"/>
            <w:vAlign w:val="center"/>
          </w:tcPr>
          <w:p w14:paraId="53143D3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余热资源回收利用率</w:t>
            </w:r>
          </w:p>
        </w:tc>
        <w:tc>
          <w:tcPr>
            <w:tcW w:w="1140" w:type="dxa"/>
            <w:noWrap w:val="0"/>
            <w:vAlign w:val="center"/>
          </w:tcPr>
          <w:p w14:paraId="3AF30F9A">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12FD11FB">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noWrap w:val="0"/>
            <w:vAlign w:val="center"/>
          </w:tcPr>
          <w:p w14:paraId="4FD59037">
            <w:pPr>
              <w:adjustRightInd w:val="0"/>
              <w:snapToGrid w:val="0"/>
              <w:ind w:firstLine="560"/>
              <w:jc w:val="center"/>
              <w:rPr>
                <w:rFonts w:hint="default" w:ascii="Times New Roman" w:hAnsi="Times New Roman" w:eastAsia="仿宋_GB2312" w:cs="Times New Roman"/>
                <w:kern w:val="0"/>
                <w:sz w:val="28"/>
                <w:szCs w:val="28"/>
              </w:rPr>
            </w:pPr>
          </w:p>
        </w:tc>
      </w:tr>
      <w:tr w14:paraId="6908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79E30483">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00BE50B4">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3680" w:type="dxa"/>
            <w:noWrap w:val="0"/>
            <w:vAlign w:val="center"/>
          </w:tcPr>
          <w:p w14:paraId="79D9989E">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废气资源回收利用率</w:t>
            </w:r>
          </w:p>
        </w:tc>
        <w:tc>
          <w:tcPr>
            <w:tcW w:w="1140" w:type="dxa"/>
            <w:noWrap w:val="0"/>
            <w:vAlign w:val="center"/>
          </w:tcPr>
          <w:p w14:paraId="239A3634">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3BB140E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continue"/>
            <w:noWrap w:val="0"/>
            <w:vAlign w:val="center"/>
          </w:tcPr>
          <w:p w14:paraId="708D2075">
            <w:pPr>
              <w:adjustRightInd w:val="0"/>
              <w:snapToGrid w:val="0"/>
              <w:ind w:firstLine="560"/>
              <w:jc w:val="center"/>
              <w:rPr>
                <w:rFonts w:hint="default" w:ascii="Times New Roman" w:hAnsi="Times New Roman" w:eastAsia="仿宋_GB2312" w:cs="Times New Roman"/>
                <w:kern w:val="0"/>
                <w:sz w:val="28"/>
                <w:szCs w:val="28"/>
              </w:rPr>
            </w:pPr>
          </w:p>
        </w:tc>
      </w:tr>
      <w:tr w14:paraId="7048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1F52EBC6">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5BC94087">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3680" w:type="dxa"/>
            <w:noWrap w:val="0"/>
            <w:vAlign w:val="center"/>
          </w:tcPr>
          <w:p w14:paraId="21E4B39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再生资源回收利用率</w:t>
            </w:r>
          </w:p>
        </w:tc>
        <w:tc>
          <w:tcPr>
            <w:tcW w:w="1140" w:type="dxa"/>
            <w:noWrap w:val="0"/>
            <w:vAlign w:val="center"/>
          </w:tcPr>
          <w:p w14:paraId="4AF8465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5ADB19AE">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noWrap w:val="0"/>
            <w:vAlign w:val="center"/>
          </w:tcPr>
          <w:p w14:paraId="75C887B3">
            <w:pPr>
              <w:adjustRightInd w:val="0"/>
              <w:snapToGrid w:val="0"/>
              <w:ind w:firstLine="560"/>
              <w:jc w:val="center"/>
              <w:rPr>
                <w:rFonts w:hint="default" w:ascii="Times New Roman" w:hAnsi="Times New Roman" w:eastAsia="仿宋_GB2312" w:cs="Times New Roman"/>
                <w:kern w:val="0"/>
                <w:sz w:val="28"/>
                <w:szCs w:val="28"/>
              </w:rPr>
            </w:pPr>
          </w:p>
        </w:tc>
      </w:tr>
      <w:tr w14:paraId="4F28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noWrap w:val="0"/>
            <w:vAlign w:val="center"/>
          </w:tcPr>
          <w:p w14:paraId="4C1B5CA9">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基础设施绿色指标</w:t>
            </w:r>
          </w:p>
          <w:p w14:paraId="661DEF46">
            <w:pPr>
              <w:adjustRightInd w:val="0"/>
              <w:snapToGrid w:val="0"/>
              <w:jc w:val="center"/>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IG</w:t>
            </w:r>
            <w:r>
              <w:rPr>
                <w:rFonts w:hint="eastAsia" w:ascii="Times New Roman" w:hAnsi="Times New Roman" w:eastAsia="仿宋_GB2312" w:cs="Times New Roman"/>
                <w:kern w:val="0"/>
                <w:sz w:val="28"/>
                <w:szCs w:val="28"/>
                <w:lang w:eastAsia="zh-CN"/>
              </w:rPr>
              <w:t>）</w:t>
            </w:r>
          </w:p>
        </w:tc>
        <w:tc>
          <w:tcPr>
            <w:tcW w:w="869" w:type="dxa"/>
            <w:noWrap w:val="0"/>
            <w:vAlign w:val="center"/>
          </w:tcPr>
          <w:p w14:paraId="19D99C64">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3680" w:type="dxa"/>
            <w:noWrap w:val="0"/>
            <w:vAlign w:val="center"/>
          </w:tcPr>
          <w:p w14:paraId="33F0AF1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污水集中处理设施</w:t>
            </w:r>
          </w:p>
        </w:tc>
        <w:tc>
          <w:tcPr>
            <w:tcW w:w="1140" w:type="dxa"/>
            <w:noWrap w:val="0"/>
            <w:vAlign w:val="center"/>
          </w:tcPr>
          <w:p w14:paraId="018DF13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394FA2B4">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w:t>
            </w:r>
          </w:p>
        </w:tc>
        <w:tc>
          <w:tcPr>
            <w:tcW w:w="1363" w:type="dxa"/>
            <w:noWrap w:val="0"/>
            <w:vAlign w:val="center"/>
          </w:tcPr>
          <w:p w14:paraId="174C978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39E2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6B1A790B">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64AC4A8A">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3680" w:type="dxa"/>
            <w:noWrap w:val="0"/>
            <w:vAlign w:val="center"/>
          </w:tcPr>
          <w:p w14:paraId="51735629">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新建工业建筑中绿色建筑的比例</w:t>
            </w:r>
          </w:p>
        </w:tc>
        <w:tc>
          <w:tcPr>
            <w:tcW w:w="1140" w:type="dxa"/>
            <w:noWrap w:val="0"/>
            <w:vAlign w:val="center"/>
          </w:tcPr>
          <w:p w14:paraId="66C13D8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632FDBFA">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noWrap w:val="0"/>
            <w:vAlign w:val="center"/>
          </w:tcPr>
          <w:p w14:paraId="12390E0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14:paraId="3039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40E3ACA4">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653ECE66">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3680" w:type="dxa"/>
            <w:noWrap w:val="0"/>
            <w:vAlign w:val="center"/>
          </w:tcPr>
          <w:p w14:paraId="2E2B8154">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新建公共建筑中绿色建筑的比例</w:t>
            </w:r>
          </w:p>
        </w:tc>
        <w:tc>
          <w:tcPr>
            <w:tcW w:w="1140" w:type="dxa"/>
            <w:noWrap w:val="0"/>
            <w:vAlign w:val="center"/>
          </w:tcPr>
          <w:p w14:paraId="734C25F2">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485DD86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noWrap w:val="0"/>
            <w:vAlign w:val="center"/>
          </w:tcPr>
          <w:p w14:paraId="3B8313B2">
            <w:pPr>
              <w:adjustRightInd w:val="0"/>
              <w:snapToGrid w:val="0"/>
              <w:ind w:firstLine="560"/>
              <w:jc w:val="center"/>
              <w:rPr>
                <w:rFonts w:hint="default" w:ascii="Times New Roman" w:hAnsi="Times New Roman" w:eastAsia="仿宋_GB2312" w:cs="Times New Roman"/>
                <w:kern w:val="0"/>
                <w:sz w:val="28"/>
                <w:szCs w:val="28"/>
              </w:rPr>
            </w:pPr>
          </w:p>
        </w:tc>
      </w:tr>
      <w:tr w14:paraId="4DF1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740496B0">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3BDB4B74">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3680" w:type="dxa"/>
            <w:noWrap w:val="0"/>
            <w:vAlign w:val="center"/>
          </w:tcPr>
          <w:p w14:paraId="6D74F86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500米公交站点覆盖率</w:t>
            </w:r>
          </w:p>
        </w:tc>
        <w:tc>
          <w:tcPr>
            <w:tcW w:w="1140" w:type="dxa"/>
            <w:noWrap w:val="0"/>
            <w:vAlign w:val="center"/>
          </w:tcPr>
          <w:p w14:paraId="31452A8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580FA04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restart"/>
            <w:noWrap w:val="0"/>
            <w:vAlign w:val="center"/>
          </w:tcPr>
          <w:p w14:paraId="75460CD8">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14:paraId="705B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1BF25584">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5C357C66">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3680" w:type="dxa"/>
            <w:noWrap w:val="0"/>
            <w:vAlign w:val="center"/>
          </w:tcPr>
          <w:p w14:paraId="6D455AF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节能与新能源公交车比例</w:t>
            </w:r>
          </w:p>
        </w:tc>
        <w:tc>
          <w:tcPr>
            <w:tcW w:w="1140" w:type="dxa"/>
            <w:noWrap w:val="0"/>
            <w:vAlign w:val="center"/>
          </w:tcPr>
          <w:p w14:paraId="1F9F1D1F">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2E631C1C">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noWrap w:val="0"/>
            <w:vAlign w:val="center"/>
          </w:tcPr>
          <w:p w14:paraId="444E8A12">
            <w:pPr>
              <w:adjustRightInd w:val="0"/>
              <w:snapToGrid w:val="0"/>
              <w:ind w:firstLine="560"/>
              <w:jc w:val="center"/>
              <w:rPr>
                <w:rFonts w:hint="default" w:ascii="Times New Roman" w:hAnsi="Times New Roman" w:eastAsia="仿宋_GB2312" w:cs="Times New Roman"/>
                <w:kern w:val="0"/>
                <w:sz w:val="28"/>
                <w:szCs w:val="28"/>
              </w:rPr>
            </w:pPr>
          </w:p>
        </w:tc>
      </w:tr>
      <w:tr w14:paraId="3DEBC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noWrap w:val="0"/>
            <w:vAlign w:val="center"/>
          </w:tcPr>
          <w:p w14:paraId="57EE4278">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产业绿色指标</w:t>
            </w:r>
          </w:p>
          <w:p w14:paraId="49B1F8DE">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（CG）</w:t>
            </w:r>
          </w:p>
        </w:tc>
        <w:tc>
          <w:tcPr>
            <w:tcW w:w="869" w:type="dxa"/>
            <w:noWrap w:val="0"/>
            <w:vAlign w:val="center"/>
          </w:tcPr>
          <w:p w14:paraId="7E0B3216">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3680" w:type="dxa"/>
            <w:noWrap w:val="0"/>
            <w:vAlign w:val="center"/>
          </w:tcPr>
          <w:p w14:paraId="5C40AECB">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高新技术产业产值占园区工业总产值比例</w:t>
            </w:r>
          </w:p>
        </w:tc>
        <w:tc>
          <w:tcPr>
            <w:tcW w:w="1140" w:type="dxa"/>
            <w:noWrap w:val="0"/>
            <w:vAlign w:val="center"/>
          </w:tcPr>
          <w:p w14:paraId="34B4BFB0">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6D0954CA">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noWrap w:val="0"/>
            <w:vAlign w:val="center"/>
          </w:tcPr>
          <w:p w14:paraId="023663EE">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7F1C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0E95474E">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0A48F6B5">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3680" w:type="dxa"/>
            <w:noWrap w:val="0"/>
            <w:vAlign w:val="center"/>
          </w:tcPr>
          <w:p w14:paraId="52A7370F">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绿色产业增加值占园区工业增加值比例</w:t>
            </w:r>
          </w:p>
        </w:tc>
        <w:tc>
          <w:tcPr>
            <w:tcW w:w="1140" w:type="dxa"/>
            <w:noWrap w:val="0"/>
            <w:vAlign w:val="center"/>
          </w:tcPr>
          <w:p w14:paraId="113A708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66EB04F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noWrap w:val="0"/>
            <w:vAlign w:val="center"/>
          </w:tcPr>
          <w:p w14:paraId="6FA3C23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2E4D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2FCD6F9F">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381FB19D">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3680" w:type="dxa"/>
            <w:noWrap w:val="0"/>
            <w:vAlign w:val="center"/>
          </w:tcPr>
          <w:p w14:paraId="064EEF7C">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人均工业增加值</w:t>
            </w:r>
          </w:p>
        </w:tc>
        <w:tc>
          <w:tcPr>
            <w:tcW w:w="1140" w:type="dxa"/>
            <w:noWrap w:val="0"/>
            <w:vAlign w:val="center"/>
          </w:tcPr>
          <w:p w14:paraId="73AB758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万元/人</w:t>
            </w:r>
          </w:p>
        </w:tc>
        <w:tc>
          <w:tcPr>
            <w:tcW w:w="1276" w:type="dxa"/>
            <w:noWrap w:val="0"/>
            <w:vAlign w:val="center"/>
          </w:tcPr>
          <w:p w14:paraId="18801F5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Merge w:val="restart"/>
            <w:noWrap w:val="0"/>
            <w:vAlign w:val="center"/>
          </w:tcPr>
          <w:p w14:paraId="1C83EBE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14:paraId="6865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522C381B">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0DCB2653">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3680" w:type="dxa"/>
            <w:noWrap w:val="0"/>
            <w:vAlign w:val="center"/>
          </w:tcPr>
          <w:p w14:paraId="3CD8D55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现代服务业比例</w:t>
            </w:r>
          </w:p>
        </w:tc>
        <w:tc>
          <w:tcPr>
            <w:tcW w:w="1140" w:type="dxa"/>
            <w:noWrap w:val="0"/>
            <w:vAlign w:val="center"/>
          </w:tcPr>
          <w:p w14:paraId="292785FB">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04794C9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noWrap w:val="0"/>
            <w:vAlign w:val="center"/>
          </w:tcPr>
          <w:p w14:paraId="342ED122">
            <w:pPr>
              <w:adjustRightInd w:val="0"/>
              <w:snapToGrid w:val="0"/>
              <w:ind w:firstLine="560"/>
              <w:jc w:val="center"/>
              <w:rPr>
                <w:rFonts w:hint="default" w:ascii="Times New Roman" w:hAnsi="Times New Roman" w:eastAsia="仿宋_GB2312" w:cs="Times New Roman"/>
                <w:kern w:val="0"/>
                <w:sz w:val="28"/>
                <w:szCs w:val="28"/>
              </w:rPr>
            </w:pPr>
          </w:p>
        </w:tc>
      </w:tr>
      <w:tr w14:paraId="16B3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noWrap w:val="0"/>
            <w:vAlign w:val="center"/>
          </w:tcPr>
          <w:p w14:paraId="57A6123A">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生态环境绿色指标</w:t>
            </w:r>
          </w:p>
          <w:p w14:paraId="13FB9BA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（HG）</w:t>
            </w:r>
          </w:p>
        </w:tc>
        <w:tc>
          <w:tcPr>
            <w:tcW w:w="869" w:type="dxa"/>
            <w:noWrap w:val="0"/>
            <w:vAlign w:val="center"/>
          </w:tcPr>
          <w:p w14:paraId="312C08E9">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3680" w:type="dxa"/>
            <w:noWrap w:val="0"/>
            <w:vAlign w:val="center"/>
          </w:tcPr>
          <w:p w14:paraId="72C9EA0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工业固体废弃物（含危废）处置利用率</w:t>
            </w:r>
          </w:p>
        </w:tc>
        <w:tc>
          <w:tcPr>
            <w:tcW w:w="1140" w:type="dxa"/>
            <w:noWrap w:val="0"/>
            <w:vAlign w:val="center"/>
          </w:tcPr>
          <w:p w14:paraId="72EF13A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5FFD9642">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w:t>
            </w:r>
          </w:p>
        </w:tc>
        <w:tc>
          <w:tcPr>
            <w:tcW w:w="1363" w:type="dxa"/>
            <w:noWrap w:val="0"/>
            <w:vAlign w:val="center"/>
          </w:tcPr>
          <w:p w14:paraId="454B8C6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627B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71BE46A2">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064D2B10">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3680" w:type="dxa"/>
            <w:noWrap w:val="0"/>
            <w:vAlign w:val="center"/>
          </w:tcPr>
          <w:p w14:paraId="75C5068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万元工业增加值碳排放量消减率</w:t>
            </w:r>
          </w:p>
        </w:tc>
        <w:tc>
          <w:tcPr>
            <w:tcW w:w="1140" w:type="dxa"/>
            <w:noWrap w:val="0"/>
            <w:vAlign w:val="center"/>
          </w:tcPr>
          <w:p w14:paraId="4161BBAB">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4936C0E9">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noWrap w:val="0"/>
            <w:vAlign w:val="center"/>
          </w:tcPr>
          <w:p w14:paraId="29E74EC0">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2C332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31F5E835">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4894106F">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w:t>
            </w:r>
          </w:p>
        </w:tc>
        <w:tc>
          <w:tcPr>
            <w:tcW w:w="3680" w:type="dxa"/>
            <w:noWrap w:val="0"/>
            <w:vAlign w:val="center"/>
          </w:tcPr>
          <w:p w14:paraId="4D052E5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单位工业增加值废水排放量</w:t>
            </w:r>
          </w:p>
        </w:tc>
        <w:tc>
          <w:tcPr>
            <w:tcW w:w="1140" w:type="dxa"/>
            <w:noWrap w:val="0"/>
            <w:vAlign w:val="center"/>
          </w:tcPr>
          <w:p w14:paraId="4A47EA2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t/万元</w:t>
            </w:r>
          </w:p>
        </w:tc>
        <w:tc>
          <w:tcPr>
            <w:tcW w:w="1276" w:type="dxa"/>
            <w:noWrap w:val="0"/>
            <w:vAlign w:val="center"/>
          </w:tcPr>
          <w:p w14:paraId="60ADDF8A">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1363" w:type="dxa"/>
            <w:noWrap w:val="0"/>
            <w:vAlign w:val="center"/>
          </w:tcPr>
          <w:p w14:paraId="1A66379C">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156C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32F8B540">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43693A91">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24</w:t>
            </w:r>
          </w:p>
        </w:tc>
        <w:tc>
          <w:tcPr>
            <w:tcW w:w="3680" w:type="dxa"/>
            <w:noWrap w:val="0"/>
            <w:vAlign w:val="center"/>
          </w:tcPr>
          <w:p w14:paraId="0B1F3630">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主要污染物弹性系数</w:t>
            </w:r>
          </w:p>
        </w:tc>
        <w:tc>
          <w:tcPr>
            <w:tcW w:w="1140" w:type="dxa"/>
            <w:noWrap w:val="0"/>
            <w:vAlign w:val="center"/>
          </w:tcPr>
          <w:p w14:paraId="0C2CEF1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019CA0F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0.3</w:t>
            </w:r>
          </w:p>
        </w:tc>
        <w:tc>
          <w:tcPr>
            <w:tcW w:w="1363" w:type="dxa"/>
            <w:noWrap w:val="0"/>
            <w:vAlign w:val="center"/>
          </w:tcPr>
          <w:p w14:paraId="4170588E">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3F06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31D7D8C7">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747273DB">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3680" w:type="dxa"/>
            <w:noWrap w:val="0"/>
            <w:vAlign w:val="center"/>
          </w:tcPr>
          <w:p w14:paraId="10660D2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园区空气质量优良率</w:t>
            </w:r>
          </w:p>
        </w:tc>
        <w:tc>
          <w:tcPr>
            <w:tcW w:w="1140" w:type="dxa"/>
            <w:noWrap w:val="0"/>
            <w:vAlign w:val="center"/>
          </w:tcPr>
          <w:p w14:paraId="7FA58F8A">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77EAA184">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noWrap w:val="0"/>
            <w:vAlign w:val="center"/>
          </w:tcPr>
          <w:p w14:paraId="6C1FF8CB">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3BDF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761617A5">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45ED0A04">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3680" w:type="dxa"/>
            <w:noWrap w:val="0"/>
            <w:vAlign w:val="center"/>
          </w:tcPr>
          <w:p w14:paraId="53E965B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绿化覆盖率</w:t>
            </w:r>
          </w:p>
        </w:tc>
        <w:tc>
          <w:tcPr>
            <w:tcW w:w="1140" w:type="dxa"/>
            <w:noWrap w:val="0"/>
            <w:vAlign w:val="center"/>
          </w:tcPr>
          <w:p w14:paraId="4FC1CAD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379A539F">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noWrap w:val="0"/>
            <w:vAlign w:val="center"/>
          </w:tcPr>
          <w:p w14:paraId="238E50D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项指标选1项</w:t>
            </w:r>
          </w:p>
        </w:tc>
      </w:tr>
      <w:tr w14:paraId="244F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6932A269">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610532EB">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w:t>
            </w:r>
          </w:p>
        </w:tc>
        <w:tc>
          <w:tcPr>
            <w:tcW w:w="3680" w:type="dxa"/>
            <w:noWrap w:val="0"/>
            <w:vAlign w:val="center"/>
          </w:tcPr>
          <w:p w14:paraId="5C899D62">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道路遮荫比例</w:t>
            </w:r>
          </w:p>
        </w:tc>
        <w:tc>
          <w:tcPr>
            <w:tcW w:w="1140" w:type="dxa"/>
            <w:noWrap w:val="0"/>
            <w:vAlign w:val="center"/>
          </w:tcPr>
          <w:p w14:paraId="284D9C3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4EE131FC">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noWrap w:val="0"/>
            <w:vAlign w:val="center"/>
          </w:tcPr>
          <w:p w14:paraId="433F5018">
            <w:pPr>
              <w:adjustRightInd w:val="0"/>
              <w:snapToGrid w:val="0"/>
              <w:jc w:val="center"/>
              <w:rPr>
                <w:rFonts w:hint="default" w:ascii="Times New Roman" w:hAnsi="Times New Roman" w:eastAsia="仿宋_GB2312" w:cs="Times New Roman"/>
                <w:kern w:val="0"/>
                <w:sz w:val="28"/>
                <w:szCs w:val="28"/>
              </w:rPr>
            </w:pPr>
          </w:p>
        </w:tc>
      </w:tr>
      <w:tr w14:paraId="2A45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08F93008">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2B3359DD">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c>
          <w:tcPr>
            <w:tcW w:w="3680" w:type="dxa"/>
            <w:noWrap w:val="0"/>
            <w:vAlign w:val="center"/>
          </w:tcPr>
          <w:p w14:paraId="32F9FD98">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露天停车场遮荫比例</w:t>
            </w:r>
          </w:p>
        </w:tc>
        <w:tc>
          <w:tcPr>
            <w:tcW w:w="1140" w:type="dxa"/>
            <w:noWrap w:val="0"/>
            <w:vAlign w:val="center"/>
          </w:tcPr>
          <w:p w14:paraId="3D52CC2D">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0199C23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noWrap w:val="0"/>
            <w:vAlign w:val="center"/>
          </w:tcPr>
          <w:p w14:paraId="6F30842C">
            <w:pPr>
              <w:adjustRightInd w:val="0"/>
              <w:snapToGrid w:val="0"/>
              <w:ind w:firstLine="560"/>
              <w:jc w:val="center"/>
              <w:rPr>
                <w:rFonts w:hint="default" w:ascii="Times New Roman" w:hAnsi="Times New Roman" w:eastAsia="仿宋_GB2312" w:cs="Times New Roman"/>
                <w:kern w:val="0"/>
                <w:sz w:val="28"/>
                <w:szCs w:val="28"/>
              </w:rPr>
            </w:pPr>
          </w:p>
        </w:tc>
      </w:tr>
      <w:tr w14:paraId="3F4F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noWrap w:val="0"/>
            <w:vAlign w:val="center"/>
          </w:tcPr>
          <w:p w14:paraId="22E30831">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运行管理绿色指标</w:t>
            </w:r>
          </w:p>
          <w:p w14:paraId="3980F8AE">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（MG）</w:t>
            </w:r>
          </w:p>
        </w:tc>
        <w:tc>
          <w:tcPr>
            <w:tcW w:w="869" w:type="dxa"/>
            <w:noWrap w:val="0"/>
            <w:vAlign w:val="center"/>
          </w:tcPr>
          <w:p w14:paraId="10C33990">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w:t>
            </w:r>
          </w:p>
        </w:tc>
        <w:tc>
          <w:tcPr>
            <w:tcW w:w="3680" w:type="dxa"/>
            <w:noWrap w:val="0"/>
            <w:vAlign w:val="center"/>
          </w:tcPr>
          <w:p w14:paraId="29B06ECD">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标准体系完善程度</w:t>
            </w:r>
          </w:p>
        </w:tc>
        <w:tc>
          <w:tcPr>
            <w:tcW w:w="1140" w:type="dxa"/>
            <w:noWrap w:val="0"/>
            <w:vAlign w:val="center"/>
          </w:tcPr>
          <w:p w14:paraId="69AC8053">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0DF911D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noWrap w:val="0"/>
            <w:vAlign w:val="center"/>
          </w:tcPr>
          <w:p w14:paraId="74804ED7">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5B7B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72EC80E8">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0A72E37F">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3680" w:type="dxa"/>
            <w:noWrap w:val="0"/>
            <w:vAlign w:val="center"/>
          </w:tcPr>
          <w:p w14:paraId="765D6616">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编制</w:t>
            </w: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发展规划</w:t>
            </w:r>
          </w:p>
        </w:tc>
        <w:tc>
          <w:tcPr>
            <w:tcW w:w="1140" w:type="dxa"/>
            <w:noWrap w:val="0"/>
            <w:vAlign w:val="center"/>
          </w:tcPr>
          <w:p w14:paraId="6437AB10">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4F536159">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w:t>
            </w:r>
          </w:p>
        </w:tc>
        <w:tc>
          <w:tcPr>
            <w:tcW w:w="1363" w:type="dxa"/>
            <w:noWrap w:val="0"/>
            <w:vAlign w:val="center"/>
          </w:tcPr>
          <w:p w14:paraId="3719E0A8">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14:paraId="1D3C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noWrap w:val="0"/>
            <w:vAlign w:val="center"/>
          </w:tcPr>
          <w:p w14:paraId="15D1C6A4">
            <w:pPr>
              <w:adjustRightInd w:val="0"/>
              <w:snapToGrid w:val="0"/>
              <w:ind w:firstLine="560"/>
              <w:jc w:val="center"/>
              <w:rPr>
                <w:rFonts w:hint="default" w:ascii="Times New Roman" w:hAnsi="Times New Roman" w:eastAsia="仿宋_GB2312" w:cs="Times New Roman"/>
                <w:kern w:val="0"/>
                <w:sz w:val="28"/>
                <w:szCs w:val="28"/>
              </w:rPr>
            </w:pPr>
          </w:p>
        </w:tc>
        <w:tc>
          <w:tcPr>
            <w:tcW w:w="869" w:type="dxa"/>
            <w:noWrap w:val="0"/>
            <w:vAlign w:val="center"/>
          </w:tcPr>
          <w:p w14:paraId="45C79BD0">
            <w:pPr>
              <w:pStyle w:val="11"/>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w:t>
            </w:r>
          </w:p>
        </w:tc>
        <w:tc>
          <w:tcPr>
            <w:tcW w:w="3680" w:type="dxa"/>
            <w:noWrap w:val="0"/>
            <w:vAlign w:val="center"/>
          </w:tcPr>
          <w:p w14:paraId="668360E4">
            <w:pPr>
              <w:adjustRightInd w:val="0"/>
              <w:snapToGrid w:val="0"/>
              <w:jc w:val="center"/>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绿色工业园区</w:t>
            </w:r>
            <w:r>
              <w:rPr>
                <w:rFonts w:hint="default" w:ascii="Times New Roman" w:hAnsi="Times New Roman" w:eastAsia="仿宋_GB2312" w:cs="Times New Roman"/>
                <w:kern w:val="0"/>
                <w:sz w:val="28"/>
                <w:szCs w:val="28"/>
              </w:rPr>
              <w:t>信息平台完善程度</w:t>
            </w:r>
          </w:p>
        </w:tc>
        <w:tc>
          <w:tcPr>
            <w:tcW w:w="1140" w:type="dxa"/>
            <w:noWrap w:val="0"/>
            <w:vAlign w:val="center"/>
          </w:tcPr>
          <w:p w14:paraId="2C34A795">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noWrap w:val="0"/>
            <w:vAlign w:val="center"/>
          </w:tcPr>
          <w:p w14:paraId="56765B89">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noWrap w:val="0"/>
            <w:vAlign w:val="center"/>
          </w:tcPr>
          <w:p w14:paraId="0F292EDB">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bl>
    <w:p w14:paraId="0001E9EE">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（三）评价方法</w:t>
      </w:r>
    </w:p>
    <w:p w14:paraId="15DD7047">
      <w:pPr>
        <w:ind w:firstLine="630"/>
        <w:rPr>
          <w:rFonts w:hint="default" w:ascii="Times New Roman" w:hAnsi="Times New Roman" w:cs="Times New Roman"/>
        </w:rPr>
      </w:pPr>
      <w:r>
        <w:rPr>
          <w:rFonts w:hint="default" w:ascii="Times New Roman" w:hAnsi="Times New Roman" w:eastAsia="仿宋_GB2312" w:cs="Times New Roman"/>
          <w:sz w:val="32"/>
          <w:szCs w:val="32"/>
        </w:rPr>
        <w:t>工业园区绿色指数的计算方法如下面公式所示。</w:t>
      </w:r>
    </w:p>
    <w:p w14:paraId="59D77C2D">
      <w:pPr>
        <w:pStyle w:val="13"/>
        <w:ind w:firstLine="640"/>
        <w:rPr>
          <w:rFonts w:hint="default" w:ascii="Times New Roman" w:hAnsi="Times New Roman" w:eastAsia="仿宋_GB2312" w:cs="Times New Roman"/>
          <w:sz w:val="32"/>
          <w:szCs w:val="32"/>
          <w:lang w:val="en-US"/>
        </w:rPr>
      </w:pPr>
      <w:r>
        <w:rPr>
          <w:rFonts w:hint="default" w:ascii="Times New Roman" w:hAnsi="Times New Roman" w:eastAsia="黑体" w:cs="Times New Roman"/>
          <w:i w:val="0"/>
          <w:position w:val="-34"/>
          <w:sz w:val="32"/>
          <w:szCs w:val="32"/>
          <w:lang w:val="en-US" w:eastAsia="zh-CN" w:bidi="ar-SA"/>
        </w:rPr>
        <w:object>
          <v:shape id="_x0000_i1025" o:spt="75" type="#_x0000_t75" style="height:40pt;width:423pt;" o:ole="t" filled="f" o:preferrelative="t" stroked="f" coordsize="21600,21600">
            <v:path/>
            <v:fill on="f" focussize="0,0"/>
            <v:stroke on="f"/>
            <v:imagedata r:id="rId6" o:title=""/>
            <o:lock v:ext="edit" grouping="f" rotation="f" text="f" aspectratio="t"/>
            <w10:wrap type="none"/>
            <w10:anchorlock/>
          </v:shape>
          <o:OLEObject Type="Embed" ProgID="Equation.KSEE3" ShapeID="_x0000_i1025" DrawAspect="Content" ObjectID="_1468075725" r:id="rId5">
            <o:LockedField>false</o:LockedField>
          </o:OLEObject>
        </w:object>
      </w:r>
    </w:p>
    <w:p w14:paraId="7AFA6065">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式中：</w:t>
      </w:r>
    </w:p>
    <w:p w14:paraId="31087428">
      <w:pPr>
        <w:pStyle w:val="13"/>
        <w:ind w:firstLine="640"/>
        <w:rPr>
          <w:rFonts w:hint="default" w:ascii="Times New Roman" w:hAnsi="Times New Roman" w:eastAsia="仿宋_GB2312" w:cs="Times New Roman"/>
          <w:sz w:val="32"/>
          <w:szCs w:val="32"/>
        </w:rPr>
      </w:pPr>
      <w:r>
        <w:rPr>
          <w:rFonts w:hint="eastAsia" w:ascii="Times New Roman" w:eastAsia="仿宋_GB2312" w:cs="Times New Roman"/>
          <w:i/>
          <w:iCs/>
          <w:position w:val="-6"/>
          <w:sz w:val="32"/>
          <w:szCs w:val="32"/>
          <w:lang w:val="en-US" w:eastAsia="zh-CN"/>
        </w:rPr>
        <w:t>GI</w:t>
      </w:r>
      <w:r>
        <w:rPr>
          <w:rFonts w:hint="eastAsia" w:ascii="Times New Roman" w:eastAsia="仿宋_GB2312"/>
          <w:i w:val="0"/>
          <w:iCs w:val="0"/>
          <w:position w:val="-6"/>
          <w:sz w:val="32"/>
          <w:szCs w:val="32"/>
        </w:rPr>
        <w:t>为工业园区绿色指数</w:t>
      </w:r>
      <w:r>
        <w:rPr>
          <w:rFonts w:hint="eastAsia" w:ascii="Times New Roman" w:eastAsia="仿宋_GB2312"/>
          <w:i w:val="0"/>
          <w:iCs w:val="0"/>
          <w:position w:val="-6"/>
          <w:sz w:val="32"/>
          <w:szCs w:val="32"/>
          <w:lang w:eastAsia="zh-CN"/>
        </w:rPr>
        <w:t>；</w:t>
      </w:r>
    </w:p>
    <w:p w14:paraId="141F1BED">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26" o:spt="75" type="#_x0000_t75" style="height:18.35pt;width:21.75pt;" o:ole="t" filled="f" o:preferrelative="t" stroked="f" coordsize="21600,21600">
            <v:path/>
            <v:fill on="f" focussize="0,0"/>
            <v:stroke on="f"/>
            <v:imagedata r:id="rId8" o:title=""/>
            <o:lock v:ext="edit" grouping="f" rotation="f" text="f" aspectratio="t"/>
            <w10:wrap type="none"/>
            <w10:anchorlock/>
          </v:shape>
          <o:OLEObject Type="Embed" ProgID="Equation.DSMT4" ShapeID="_x0000_i1026" DrawAspect="Content" ObjectID="_1468075726" r:id="rId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7"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27" DrawAspect="Content" ObjectID="_1468075727" r:id="rId9">
            <o:LockedField>false</o:LockedField>
          </o:OLEObject>
        </w:object>
      </w:r>
      <w:r>
        <w:rPr>
          <w:rFonts w:hint="default" w:ascii="Times New Roman" w:hAnsi="Times New Roman" w:eastAsia="仿宋_GB2312" w:cs="Times New Roman"/>
          <w:sz w:val="32"/>
          <w:szCs w:val="32"/>
        </w:rPr>
        <w:t>项能源利用绿色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28" o:spt="75" type="#_x0000_t75" style="height:18.35pt;width:24.45pt;" o:ole="t" filled="f" o:preferrelative="t" stroked="f" coordsize="21600,21600">
            <v:path/>
            <v:fill on="f" focussize="0,0"/>
            <v:stroke on="f"/>
            <v:imagedata r:id="rId12" o:title=""/>
            <o:lock v:ext="edit" grouping="f" rotation="f" text="f" aspectratio="t"/>
            <w10:wrap type="none"/>
            <w10:anchorlock/>
          </v:shape>
          <o:OLEObject Type="Embed" ProgID="Equation.DSMT4" ShapeID="_x0000_i1028" DrawAspect="Content" ObjectID="_1468075728" r:id="rId1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9"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29" DrawAspect="Content" ObjectID="_1468075729" r:id="rId13">
            <o:LockedField>false</o:LockedField>
          </o:OLEObject>
        </w:object>
      </w:r>
      <w:r>
        <w:rPr>
          <w:rFonts w:hint="default" w:ascii="Times New Roman" w:hAnsi="Times New Roman" w:eastAsia="仿宋_GB2312" w:cs="Times New Roman"/>
          <w:sz w:val="32"/>
          <w:szCs w:val="32"/>
        </w:rPr>
        <w:t>项能源利用绿色指标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14:paraId="05EBF4CC">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0" o:spt="75" type="#_x0000_t75" style="height:18.35pt;width:21.75pt;" o:ole="t" filled="f" o:preferrelative="t" stroked="f" coordsize="21600,21600">
            <v:path/>
            <v:fill on="f" focussize="0,0"/>
            <v:stroke on="f"/>
            <v:imagedata r:id="rId15" o:title=""/>
            <o:lock v:ext="edit" grouping="f" rotation="f" text="f" aspectratio="t"/>
            <w10:wrap type="none"/>
            <w10:anchorlock/>
          </v:shape>
          <o:OLEObject Type="Embed" ProgID="Equation.DSMT4" ShapeID="_x0000_i1030" DrawAspect="Content" ObjectID="_1468075730" r:id="rId14">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1"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31" DrawAspect="Content" ObjectID="_1468075731" r:id="rId16">
            <o:LockedField>false</o:LockedField>
          </o:OLEObject>
        </w:object>
      </w:r>
      <w:r>
        <w:rPr>
          <w:rFonts w:hint="default" w:ascii="Times New Roman" w:hAnsi="Times New Roman" w:eastAsia="仿宋_GB2312" w:cs="Times New Roman"/>
          <w:sz w:val="32"/>
          <w:szCs w:val="32"/>
        </w:rPr>
        <w:t>项资源利用绿色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2" o:spt="75" type="#_x0000_t75" style="height:18.35pt;width:24.45pt;" o:ole="t" filled="f" o:preferrelative="t" stroked="f" coordsize="21600,21600">
            <v:path/>
            <v:fill on="f" focussize="0,0"/>
            <v:stroke on="f"/>
            <v:imagedata r:id="rId18" o:title=""/>
            <o:lock v:ext="edit" grouping="f" rotation="f" text="f" aspectratio="t"/>
            <w10:wrap type="none"/>
            <w10:anchorlock/>
          </v:shape>
          <o:OLEObject Type="Embed" ProgID="Equation.DSMT4" ShapeID="_x0000_i1032" DrawAspect="Content" ObjectID="_1468075732" r:id="rId1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3"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33" DrawAspect="Content" ObjectID="_1468075733" r:id="rId19">
            <o:LockedField>false</o:LockedField>
          </o:OLEObject>
        </w:object>
      </w:r>
      <w:r>
        <w:rPr>
          <w:rFonts w:hint="default" w:ascii="Times New Roman" w:hAnsi="Times New Roman" w:eastAsia="仿宋_GB2312" w:cs="Times New Roman"/>
          <w:sz w:val="32"/>
          <w:szCs w:val="32"/>
        </w:rPr>
        <w:t>项资源利用绿色指标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14:paraId="70987BFE">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4" o:spt="75" type="#_x0000_t75" style="height:18.35pt;width:19pt;" o:ole="t" filled="f" o:preferrelative="t" stroked="f" coordsize="21600,21600">
            <v:path/>
            <v:fill on="f" focussize="0,0"/>
            <v:stroke on="f"/>
            <v:imagedata r:id="rId21" o:title=""/>
            <o:lock v:ext="edit" grouping="f" rotation="f" text="f" aspectratio="t"/>
            <w10:wrap type="none"/>
            <w10:anchorlock/>
          </v:shape>
          <o:OLEObject Type="Embed" ProgID="Equation.DSMT4" ShapeID="_x0000_i1034" DrawAspect="Content" ObjectID="_1468075734" r:id="rId2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5"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35" DrawAspect="Content" ObjectID="_1468075735" r:id="rId22">
            <o:LockedField>false</o:LockedField>
          </o:OLEObject>
        </w:object>
      </w:r>
      <w:r>
        <w:rPr>
          <w:rFonts w:hint="default" w:ascii="Times New Roman" w:hAnsi="Times New Roman" w:eastAsia="仿宋_GB2312" w:cs="Times New Roman"/>
          <w:sz w:val="32"/>
          <w:szCs w:val="32"/>
        </w:rPr>
        <w:t>项基础设施绿色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6" o:spt="75" type="#_x0000_t75" style="height:18.35pt;width:21.75pt;" o:ole="t" filled="f" o:preferrelative="t" stroked="f" coordsize="21600,21600">
            <v:path/>
            <v:fill on="f" focussize="0,0"/>
            <v:stroke on="f"/>
            <v:imagedata r:id="rId24" o:title=""/>
            <o:lock v:ext="edit" grouping="f" rotation="f" text="f" aspectratio="t"/>
            <w10:wrap type="none"/>
            <w10:anchorlock/>
          </v:shape>
          <o:OLEObject Type="Embed" ProgID="Equation.DSMT4" ShapeID="_x0000_i1036" DrawAspect="Content" ObjectID="_1468075736" r:id="rId2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7"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37" DrawAspect="Content" ObjectID="_1468075737" r:id="rId25">
            <o:LockedField>false</o:LockedField>
          </o:OLEObject>
        </w:object>
      </w:r>
      <w:r>
        <w:rPr>
          <w:rFonts w:hint="default" w:ascii="Times New Roman" w:hAnsi="Times New Roman" w:eastAsia="仿宋_GB2312" w:cs="Times New Roman"/>
          <w:sz w:val="32"/>
          <w:szCs w:val="32"/>
        </w:rPr>
        <w:t>项基础设施绿色指标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14:paraId="178853D4">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8" o:spt="75" type="#_x0000_t75" style="height:18.35pt;width:21.75pt;" o:ole="t" filled="f" o:preferrelative="t" stroked="f" coordsize="21600,21600">
            <v:path/>
            <v:fill on="f" focussize="0,0"/>
            <v:stroke on="f"/>
            <v:imagedata r:id="rId27" o:title=""/>
            <o:lock v:ext="edit" grouping="f" rotation="f" text="f" aspectratio="t"/>
            <w10:wrap type="none"/>
            <w10:anchorlock/>
          </v:shape>
          <o:OLEObject Type="Embed" ProgID="Equation.DSMT4" ShapeID="_x0000_i1038" DrawAspect="Content" ObjectID="_1468075738" r:id="rId26">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9"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39" DrawAspect="Content" ObjectID="_1468075739" r:id="rId28">
            <o:LockedField>false</o:LockedField>
          </o:OLEObject>
        </w:object>
      </w:r>
      <w:r>
        <w:rPr>
          <w:rFonts w:hint="default" w:ascii="Times New Roman" w:hAnsi="Times New Roman" w:eastAsia="仿宋_GB2312" w:cs="Times New Roman"/>
          <w:sz w:val="32"/>
          <w:szCs w:val="32"/>
        </w:rPr>
        <w:t>项产业绿色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0" o:spt="75" type="#_x0000_t75" style="height:18.35pt;width:24.45pt;" o:ole="t" filled="f" o:preferrelative="t" stroked="f" coordsize="21600,21600">
            <v:path/>
            <v:fill on="f" focussize="0,0"/>
            <v:stroke on="f"/>
            <v:imagedata r:id="rId30" o:title=""/>
            <o:lock v:ext="edit" grouping="f" rotation="f" text="f" aspectratio="t"/>
            <w10:wrap type="none"/>
            <w10:anchorlock/>
          </v:shape>
          <o:OLEObject Type="Embed" ProgID="Equation.DSMT4" ShapeID="_x0000_i1040" DrawAspect="Content" ObjectID="_1468075740" r:id="rId2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1"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41" DrawAspect="Content" ObjectID="_1468075741" r:id="rId31">
            <o:LockedField>false</o:LockedField>
          </o:OLEObject>
        </w:object>
      </w:r>
      <w:r>
        <w:rPr>
          <w:rFonts w:hint="default" w:ascii="Times New Roman" w:hAnsi="Times New Roman" w:eastAsia="仿宋_GB2312" w:cs="Times New Roman"/>
          <w:sz w:val="32"/>
          <w:szCs w:val="32"/>
        </w:rPr>
        <w:t>项产业绿色指标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14:paraId="6E77CFB1">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2" o:spt="75" type="#_x0000_t75" style="height:18.35pt;width:23.1pt;" o:ole="t" filled="f" o:preferrelative="t" stroked="f" coordsize="21600,21600">
            <v:path/>
            <v:fill on="f" focussize="0,0"/>
            <v:stroke on="f"/>
            <v:imagedata r:id="rId33" o:title=""/>
            <o:lock v:ext="edit" grouping="f" rotation="f" text="f" aspectratio="t"/>
            <w10:wrap type="none"/>
            <w10:anchorlock/>
          </v:shape>
          <o:OLEObject Type="Embed" ProgID="Equation.DSMT4" ShapeID="_x0000_i1042" DrawAspect="Content" ObjectID="_1468075742" r:id="rId32">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3"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43" DrawAspect="Content" ObjectID="_1468075743" r:id="rId34">
            <o:LockedField>false</o:LockedField>
          </o:OLEObject>
        </w:object>
      </w:r>
      <w:r>
        <w:rPr>
          <w:rFonts w:hint="default" w:ascii="Times New Roman" w:hAnsi="Times New Roman" w:eastAsia="仿宋_GB2312" w:cs="Times New Roman"/>
          <w:sz w:val="32"/>
          <w:szCs w:val="32"/>
        </w:rPr>
        <w:t>项生态环境绿色指标值，</w:t>
      </w:r>
      <w:r>
        <w:rPr>
          <w:rFonts w:hint="default" w:ascii="Times New Roman" w:hAnsi="Times New Roman" w:eastAsia="仿宋_GB2312" w:cs="Times New Roman"/>
          <w:position w:val="-12"/>
          <w:sz w:val="32"/>
          <w:szCs w:val="32"/>
        </w:rPr>
        <w:object>
          <v:shape id="_x0000_i1044" o:spt="75" type="#_x0000_t75" style="height:18.35pt;width:27.15pt;" o:ole="t" filled="f" o:preferrelative="t" stroked="f" coordsize="21600,21600">
            <v:path/>
            <v:fill on="f" focussize="0,0"/>
            <v:stroke on="f"/>
            <v:imagedata r:id="rId36" o:title=""/>
            <o:lock v:ext="edit" grouping="f" rotation="f" text="f" aspectratio="t"/>
            <w10:wrap type="none"/>
            <w10:anchorlock/>
          </v:shape>
          <o:OLEObject Type="Embed" ProgID="Equation.DSMT4" ShapeID="_x0000_i1044" DrawAspect="Content" ObjectID="_1468075744" r:id="rId35">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5"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45" DrawAspect="Content" ObjectID="_1468075745" r:id="rId37">
            <o:LockedField>false</o:LockedField>
          </o:OLEObject>
        </w:object>
      </w:r>
      <w:r>
        <w:rPr>
          <w:rFonts w:hint="default" w:ascii="Times New Roman" w:hAnsi="Times New Roman" w:eastAsia="仿宋_GB2312" w:cs="Times New Roman"/>
          <w:sz w:val="32"/>
          <w:szCs w:val="32"/>
        </w:rPr>
        <w:t>项生态环境绿色指标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14:paraId="230DD2C5">
      <w:pPr>
        <w:pStyle w:val="13"/>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6" o:spt="75" type="#_x0000_t75" style="height:18.35pt;width:23.75pt;" o:ole="t" filled="f" o:preferrelative="t" stroked="f" coordsize="21600,21600">
            <v:path/>
            <v:fill on="f" focussize="0,0"/>
            <v:stroke on="f"/>
            <v:imagedata r:id="rId39" o:title=""/>
            <o:lock v:ext="edit" grouping="f" rotation="f" text="f" aspectratio="t"/>
            <w10:wrap type="none"/>
            <w10:anchorlock/>
          </v:shape>
          <o:OLEObject Type="Embed" ProgID="Equation.DSMT4" ShapeID="_x0000_i1046" DrawAspect="Content" ObjectID="_1468075746" r:id="rId38">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7"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47" DrawAspect="Content" ObjectID="_1468075747" r:id="rId40">
            <o:LockedField>false</o:LockedField>
          </o:OLEObject>
        </w:object>
      </w:r>
      <w:r>
        <w:rPr>
          <w:rFonts w:hint="default" w:ascii="Times New Roman" w:hAnsi="Times New Roman" w:eastAsia="仿宋_GB2312" w:cs="Times New Roman"/>
          <w:sz w:val="32"/>
          <w:szCs w:val="32"/>
        </w:rPr>
        <w:t>项运行管理绿色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8" o:spt="75" type="#_x0000_t75" style="height:18.35pt;width:27.85pt;" o:ole="t" filled="f" o:preferrelative="t" stroked="f" coordsize="21600,21600">
            <v:path/>
            <v:fill on="f" focussize="0,0"/>
            <v:stroke on="f"/>
            <v:imagedata r:id="rId42" o:title=""/>
            <o:lock v:ext="edit" grouping="f" rotation="f" text="f" aspectratio="t"/>
            <w10:wrap type="none"/>
            <w10:anchorlock/>
          </v:shape>
          <o:OLEObject Type="Embed" ProgID="Equation.DSMT4" ShapeID="_x0000_i1048" DrawAspect="Content" ObjectID="_1468075748" r:id="rId4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9" o:spt="75" type="#_x0000_t75" style="height:12.9pt;width:6.8pt;" o:ole="t" filled="f" o:preferrelative="t" stroked="f" coordsize="21600,21600">
            <v:path/>
            <v:fill on="f" focussize="0,0"/>
            <v:stroke on="f"/>
            <v:imagedata r:id="rId10" o:title=""/>
            <o:lock v:ext="edit" grouping="f" rotation="f" text="f" aspectratio="t"/>
            <w10:wrap type="none"/>
            <w10:anchorlock/>
          </v:shape>
          <o:OLEObject Type="Embed" ProgID="Equation.DSMT4" ShapeID="_x0000_i1049" DrawAspect="Content" ObjectID="_1468075749" r:id="rId43">
            <o:LockedField>false</o:LockedField>
          </o:OLEObject>
        </w:object>
      </w:r>
      <w:r>
        <w:rPr>
          <w:rFonts w:hint="default" w:ascii="Times New Roman" w:hAnsi="Times New Roman" w:eastAsia="仿宋_GB2312" w:cs="Times New Roman"/>
          <w:sz w:val="32"/>
          <w:szCs w:val="32"/>
        </w:rPr>
        <w:t>项运行管理绿色指标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14:paraId="6A139403">
      <w:pPr>
        <w:pStyle w:val="13"/>
        <w:ind w:firstLine="48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正向指标（越大越好的指标）和逆向指标（越小越好的指标）数值的无量纲化分别采用指标值/基准值、基准值/指标值。在全部指标中，单位工业增加值废水排放量和主要污染物弹性系数属于逆向指标，无量纲化方法采用基准值/指标值。</w:t>
      </w:r>
    </w:p>
    <w:p w14:paraId="6D251D26">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二、能源利用</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绿色指标（3个必选指标）</w:t>
      </w:r>
    </w:p>
    <w:p w14:paraId="21E77763">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指标包括能源产出率和可再生能源使用比例、清洁能源使用率3个必选指标。</w:t>
      </w:r>
    </w:p>
    <w:p w14:paraId="1116D187">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（一）能源产出率（必选）</w:t>
      </w:r>
    </w:p>
    <w:p w14:paraId="797C870D">
      <w:pPr>
        <w:ind w:firstLine="63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：指报告期内园区工业增加值与能源消耗总量的比值，该项指标越大，表明能源产出效率越高。能源主要包括原煤、原油、天然气、核电、水电、风电等一次能源。工业增加值采用2010年不变价，下同。</w:t>
      </w:r>
    </w:p>
    <w:p w14:paraId="4774D09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能源产出率=园区工业增加值（万元不变价）/能源综合消耗总量（tce）。</w:t>
      </w:r>
    </w:p>
    <w:p w14:paraId="7D9F1AB3">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（二）可再生能源使用比例（必选）</w:t>
      </w:r>
    </w:p>
    <w:p w14:paraId="53174CC1">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园区内工业企业的可再生能源使用量与综合能耗总量的比值。可再生能源包括太阳能、水能、生物质能、地热能、氢能、波浪能等非化石能源。</w:t>
      </w:r>
    </w:p>
    <w:p w14:paraId="12331183">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可再生能源使用比例（%）=工业企业可再生能源使用量（tce）/工业企业综合能耗总量（tce）x100%。</w:t>
      </w:r>
    </w:p>
    <w:p w14:paraId="5ACB4F5D">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（三）清洁能源使用率（必选）</w:t>
      </w:r>
    </w:p>
    <w:p w14:paraId="635AE717">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14:paraId="23BBCC3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清洁能源使用率（%）=清洁能源使用量（tce）/终端能源消费总量（tce）×100%。</w:t>
      </w:r>
    </w:p>
    <w:p w14:paraId="71B4001D">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三、资源利用绿色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指标（4个必选指标+2个可选指标）</w:t>
      </w:r>
    </w:p>
    <w:p w14:paraId="3E0019CB">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资源利用绿色</w:t>
      </w:r>
      <w:r>
        <w:rPr>
          <w:rFonts w:hint="default" w:ascii="Times New Roman" w:hAnsi="Times New Roman" w:eastAsia="仿宋" w:cs="Times New Roman"/>
          <w:sz w:val="32"/>
          <w:szCs w:val="32"/>
          <w:lang w:val="en-US" w:eastAsia="zh-CN"/>
        </w:rPr>
        <w:t>化</w:t>
      </w:r>
      <w:r>
        <w:rPr>
          <w:rFonts w:hint="default" w:ascii="Times New Roman" w:hAnsi="Times New Roman" w:eastAsia="仿宋" w:cs="Times New Roman"/>
          <w:sz w:val="32"/>
          <w:szCs w:val="32"/>
        </w:rPr>
        <w:t>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14:paraId="64ECF478">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（一）水资源产出率（必选）</w:t>
      </w:r>
    </w:p>
    <w:p w14:paraId="5F3BD8B1">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报告期内园区消耗单位新鲜水量所创造的工业增加值。工业用新鲜水量：指报告期内企业厂区内用于生产和生活的新鲜水量（生活用水单独计量且生活污水不与工业废水混排的除外），它等于企业从城市自来水取用的水量和企业自备水用量之和。</w:t>
      </w:r>
    </w:p>
    <w:p w14:paraId="1A8FCC28">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水资源产出率= 园区工业增加值（万元不变价）/园区工业用新鲜水量（m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w:t>
      </w:r>
    </w:p>
    <w:p w14:paraId="7C376BA4">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（二）土地资源产出率（必选）</w:t>
      </w:r>
    </w:p>
    <w:p w14:paraId="17F06D0D">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14:paraId="24FDB726">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土地产出率=园区工业增加值（万元不变价）/园区工业用地面积（km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p>
    <w:p w14:paraId="5D6752E9">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（三）工业固体废弃物综合利用率（必选）</w:t>
      </w:r>
    </w:p>
    <w:p w14:paraId="1E8D834B">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指工业固体废物综合利用量占工业固体废物产生量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包括综合利用往年贮存量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的百分率。工业固体废物综合利用量指报告期内企业通过回收、加工、循环、交换等方式，从固体废物中提取或者使其转化为可以利用的资源、能源和其他原材料的固体废物量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包括当年利用往年的工业固体废物贮存量</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，如用作农业肥料、生产建筑材料、筑路等。综合利用量由原产生固体废物的单位统计。</w:t>
      </w:r>
    </w:p>
    <w:p w14:paraId="560CFC2D">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工业固体废弃物综合利用率=工业固体废弃物综合利用量（t）/（工业固体废弃物产生量+综合利用往年贮存量(t)）×100%。</w:t>
      </w:r>
    </w:p>
    <w:p w14:paraId="60E6C9D1">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（四）工业用水重复利用率（必选）</w:t>
      </w:r>
    </w:p>
    <w:p w14:paraId="5074B0E1">
      <w:pPr>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：指工业重复用水量占工业用水总量的百分</w:t>
      </w:r>
    </w:p>
    <w:p w14:paraId="01E0CB51">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14:paraId="08E49607">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工业用水重复利用率=工业重复用水量（m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）/工业用水总量（m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14:paraId="116436E9">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（五）中水回用率（可选）</w:t>
      </w:r>
    </w:p>
    <w:p w14:paraId="33897221">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指园区内再生水的回用量与污水处理厂处理量的比值。其中，再生水（中水）是指二级达标水经再生工艺净化处理后，达到中水水质指标要求，满足某种使用要求的水。</w:t>
      </w:r>
    </w:p>
    <w:p w14:paraId="0A69C743">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：中水</w:t>
      </w:r>
      <w:r>
        <w:rPr>
          <w:rFonts w:hint="default" w:ascii="Times New Roman" w:hAnsi="Times New Roman" w:eastAsia="仿宋" w:cs="Times New Roman"/>
          <w:sz w:val="32"/>
          <w:szCs w:val="32"/>
          <w:lang w:eastAsia="zh-CN"/>
        </w:rPr>
        <w:t>回</w:t>
      </w:r>
      <w:r>
        <w:rPr>
          <w:rFonts w:hint="default" w:ascii="Times New Roman" w:hAnsi="Times New Roman" w:eastAsia="仿宋" w:cs="Times New Roman"/>
          <w:sz w:val="32"/>
          <w:szCs w:val="32"/>
        </w:rPr>
        <w:t>用率（%）=园区再生水（中水）回用量（万吨）/园区污水处理厂处理量（万吨）×100%。</w:t>
      </w:r>
    </w:p>
    <w:p w14:paraId="496BB228">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（六）余热资源回收利用率（可选）</w:t>
      </w:r>
    </w:p>
    <w:p w14:paraId="459759BD">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的过程。园区余热资源量按照GB/T 1028计算。</w:t>
      </w:r>
    </w:p>
    <w:p w14:paraId="47D8B53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：余热资源回收利用率（%）=回收利用的余热资源量（kJ）/园区总余热资源量（kJ）×100%。</w:t>
      </w:r>
    </w:p>
    <w:p w14:paraId="70E819DE">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（七）废气资源回收利用率（可选）</w:t>
      </w:r>
    </w:p>
    <w:p w14:paraId="6F7448C5">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14:paraId="2831124A">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废气资源回收利用率（%）=回收利用的废气资源量（万m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）/园区可回收利用总废气资源量（万m</w:t>
      </w:r>
      <w:r>
        <w:rPr>
          <w:rFonts w:hint="default" w:ascii="Times New Roman" w:hAnsi="Times New Roman" w:eastAsia="仿宋" w:cs="Times New Roman"/>
          <w:sz w:val="32"/>
          <w:szCs w:val="32"/>
          <w:vertAlign w:val="superscript"/>
        </w:rPr>
        <w:t>3</w:t>
      </w:r>
      <w:r>
        <w:rPr>
          <w:rFonts w:hint="default" w:ascii="Times New Roman" w:hAnsi="Times New Roman" w:eastAsia="仿宋" w:cs="Times New Roman"/>
          <w:sz w:val="32"/>
          <w:szCs w:val="32"/>
        </w:rPr>
        <w:t>）×100%。</w:t>
      </w:r>
    </w:p>
    <w:p w14:paraId="42EBEE63">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（八）再生资源回收利用率（可选）</w:t>
      </w:r>
    </w:p>
    <w:p w14:paraId="12B55960">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14:paraId="7CB65584">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再生资源回收利用率（%）=再生资源循环利用量（万吨）/再生资源收集量（万吨）×100%。</w:t>
      </w:r>
    </w:p>
    <w:p w14:paraId="3A0B8540">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四、基础设施绿色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指标（1个必选指标+2个可选指标）</w:t>
      </w:r>
    </w:p>
    <w:p w14:paraId="7CA43FD5">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14:paraId="08C755AD">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（一）污水集中处理设施（必选）</w:t>
      </w:r>
    </w:p>
    <w:p w14:paraId="01F30EA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园区内所有工业废水经预处理达到集中处理要求后进入安装有自动在线监控装置的污水集中处理设施（园区内或园区外）。</w:t>
      </w:r>
    </w:p>
    <w:p w14:paraId="4992728C">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（二）新建工业建筑中绿色建筑的比例（可选）</w:t>
      </w:r>
    </w:p>
    <w:p w14:paraId="3375E220">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园区新建工业建筑中的绿色建筑是按照GB/T 50878-2013《绿色工业建筑评价标准》评价，获得二星及以上评级的工业建筑。</w:t>
      </w:r>
    </w:p>
    <w:p w14:paraId="10F33CAC">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新建工业建筑中绿色建筑的比例（%）=新建工业建筑中绿色建筑的面积（m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）/园区新建工业建筑面积</w:t>
      </w:r>
    </w:p>
    <w:p w14:paraId="28EA1364">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14:paraId="74215BA6">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（三）新建公共建筑中绿色建筑的比例（可选）</w:t>
      </w:r>
    </w:p>
    <w:p w14:paraId="1F63D3B7">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园区新建公共建筑中的绿色建筑是按照GB/T 50378-2014《绿色建筑评价标准》评价，获得二星及以上评级的公共建筑。</w:t>
      </w:r>
    </w:p>
    <w:p w14:paraId="59F57E38">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：新建公共建筑中绿色建筑的比例（%）=新建公共建筑中绿色建筑的面积（m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）/园区新建公共建筑面积（m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14:paraId="55C1CF88">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（四）500米公交站点覆盖率（可选）</w:t>
      </w:r>
    </w:p>
    <w:p w14:paraId="47AF8AC4">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园区公共交通车站服务覆盖面积的总和占园区建成区面积的百分比。</w:t>
      </w:r>
    </w:p>
    <w:p w14:paraId="40D8BC94">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具体根据GB 50220计算。</w:t>
      </w:r>
    </w:p>
    <w:p w14:paraId="31027917">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（五）节能与新能源公交车比例（可选）</w:t>
      </w:r>
    </w:p>
    <w:p w14:paraId="1DC55039">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14:paraId="4850AC8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节能与新能源公交车比例（%）=节能与新能源公交车数量（辆）/园区公交车总量（辆）×100%。</w:t>
      </w:r>
    </w:p>
    <w:p w14:paraId="1AAC8309">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五、产业绿色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指标（2个必选指标+1个可选指标）</w:t>
      </w:r>
    </w:p>
    <w:p w14:paraId="6479E3B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指标包括高新技术产业产值占园区工业总产值比例、绿色产业增加值占园区工业增加值比例2个必选指标，以及从人均工业增加值和现代服务业比例两个可选指标中选取1个指标。</w:t>
      </w:r>
    </w:p>
    <w:p w14:paraId="1FA7498F">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（一）绿色产业增加值占园区工业增加值比例（必选）</w:t>
      </w:r>
    </w:p>
    <w:p w14:paraId="34BEB32B">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园区内绿色产业的增加值与园区工业增加值的比值。其中，绿色产业增加值是依据国家统计局《战略性新兴产业分类》中关于节能环保产业和新能源产业的具体分类统计得到。</w:t>
      </w:r>
    </w:p>
    <w:p w14:paraId="65CC7BB3">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绿色产业增加值占园区工业增加值比例（%）=绿色产业增加值（万元）/园区工业增加值（万元）×100%。</w:t>
      </w:r>
    </w:p>
    <w:p w14:paraId="3BD511C1">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（二）高新技术产业产值占园区工业总产值比例（必选）</w:t>
      </w:r>
    </w:p>
    <w:p w14:paraId="7853C941">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园区内高新技术企业的工业总产值占园区工业总产值的比值。其中，高新技术企业是指依据《高新技术企业认定管理办法》认定的工业范畴的高新技术企业。</w:t>
      </w:r>
    </w:p>
    <w:p w14:paraId="4612FDB2">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高新技术产业产值占园区工业总产值比例</w:t>
      </w:r>
    </w:p>
    <w:p w14:paraId="1B191778">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（%）=高新技术企业的工业产值之和（万元）/工业园区工业总产值（万元）×100%。</w:t>
      </w:r>
    </w:p>
    <w:p w14:paraId="16082B2C">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（三）人均工业增加值（可选）</w:t>
      </w:r>
    </w:p>
    <w:p w14:paraId="3E04AF8B">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园区工业增加值与园区内工业企业从业人数的比值。</w:t>
      </w:r>
    </w:p>
    <w:p w14:paraId="2519EAA5">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人均工业增加值（万元/人）=园区工业增加值（万元）/园区年末工业企业从业人数（人）。</w:t>
      </w:r>
    </w:p>
    <w:p w14:paraId="049C52BF">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（四）现代服务业比例（可选）</w:t>
      </w:r>
    </w:p>
    <w:p w14:paraId="6D8ACAF1">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务）、个人消费服务（包括教育、医疗保健、住宿、餐饮、文化娱乐、旅游、房地产、商品零售等）和公共服务（包括政府的公共管理服务、基础教育、公共卫生、医疗以及公益性信息服务等）。</w:t>
      </w:r>
    </w:p>
    <w:p w14:paraId="3739ECB2">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现代服务业比例（%）=现代服务业增加值（万元）/园区GDP×100%。</w:t>
      </w:r>
    </w:p>
    <w:p w14:paraId="6E972D1B">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六、生态环境绿色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w:t>
      </w:r>
      <w:r>
        <w:rPr>
          <w:rFonts w:hint="default" w:ascii="Times New Roman" w:hAnsi="Times New Roman" w:eastAsia="黑体" w:cs="Times New Roman"/>
          <w:bCs/>
          <w:sz w:val="32"/>
          <w:szCs w:val="32"/>
          <w:lang w:val="en-US" w:eastAsia="zh-CN"/>
        </w:rPr>
        <w:t>5</w:t>
      </w:r>
      <w:r>
        <w:rPr>
          <w:rFonts w:hint="default" w:ascii="Times New Roman" w:hAnsi="Times New Roman" w:eastAsia="黑体" w:cs="Times New Roman"/>
          <w:bCs/>
          <w:sz w:val="32"/>
          <w:szCs w:val="32"/>
        </w:rPr>
        <w:t>个必选指标+1个可选指标）</w:t>
      </w:r>
    </w:p>
    <w:p w14:paraId="08DC2BC7">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14:paraId="00FA42EA">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（一）工业固体废弃物（含危废）处置利用率（必选）</w:t>
      </w:r>
    </w:p>
    <w:p w14:paraId="2926E74B">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园区范围内各工业企业安全处置、综合利用及安全贮存的工业固体废物量（含危险废物）之和与当年工业固体废物总产生量的比值。</w:t>
      </w:r>
    </w:p>
    <w:p w14:paraId="6A4C874C">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工业固体废弃物（含危废）处置利用率（%）=园区当年工业固体废物处置利用量（含危险废物）（t）/园区当年工业固体废物总产生量（t）×100%。</w:t>
      </w:r>
    </w:p>
    <w:p w14:paraId="07E23170">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（二）万元工业增加值碳排放量消减率（必选）</w:t>
      </w:r>
    </w:p>
    <w:p w14:paraId="398F71EF">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园区内工业企业产生单位工业增加值所排放的二氧化碳当量的创建期年均消减率。创建期是指</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创建周期。</w:t>
      </w:r>
    </w:p>
    <w:p w14:paraId="531C0DB5">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万元工业增加值碳排放量消减率（%）=[1-（验收年单位工业增加值二氧化碳排放量(tCO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/万元)/创建基准年单位工业增加值二氧化碳排放量(tCO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vertAlign w:val="subscript"/>
          <w:lang w:val="en-US" w:eastAsia="zh-CN"/>
        </w:rPr>
        <w:t>-</w:t>
      </w:r>
      <w:r>
        <w:rPr>
          <w:rFonts w:hint="default" w:ascii="Times New Roman" w:hAnsi="Times New Roman" w:eastAsia="仿宋" w:cs="Times New Roman"/>
          <w:sz w:val="32"/>
          <w:szCs w:val="32"/>
          <w:vertAlign w:val="subscript"/>
        </w:rPr>
        <w:t>eq</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vertAlign w:val="superscript"/>
        </w:rPr>
        <w:t>1/创建周期</w:t>
      </w:r>
      <w:r>
        <w:rPr>
          <w:rFonts w:hint="default" w:ascii="Times New Roman" w:hAnsi="Times New Roman" w:eastAsia="仿宋" w:cs="Times New Roman"/>
          <w:sz w:val="32"/>
          <w:szCs w:val="32"/>
        </w:rPr>
        <w:t>]×100%。</w:t>
      </w:r>
    </w:p>
    <w:p w14:paraId="4BFE4DB7">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（三）单位工业增加值废水排放量（必选）</w:t>
      </w:r>
    </w:p>
    <w:p w14:paraId="6719634D">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指园区单位工业增加值排放的工业废水量，不包括企业梯级利用的废水和园区内居民排放的生活废水。</w:t>
      </w:r>
    </w:p>
    <w:p w14:paraId="22AD97BA">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：单位工业增加值废水排放量（t/万元）=园区工业废水排放总量（t）/园区工业增加值总量（万元）。</w:t>
      </w:r>
    </w:p>
    <w:p w14:paraId="28E8F614">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（四）主要污染物弹性系数（必选）</w:t>
      </w:r>
    </w:p>
    <w:p w14:paraId="0DDAB02C">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：指园区内工业企业排放的各类主要污染物排放弹性系数的算术平均值。其中，主要污染物指从创建基准年到验收年，国家政策明确要求总量减排和控制的污染物，包括COD、SO</w:t>
      </w:r>
      <w:r>
        <w:rPr>
          <w:rFonts w:hint="default" w:ascii="Times New Roman" w:hAnsi="Times New Roman" w:eastAsia="仿宋" w:cs="Times New Roman"/>
          <w:sz w:val="32"/>
          <w:szCs w:val="32"/>
          <w:vertAlign w:val="subscript"/>
        </w:rPr>
        <w:t>2</w:t>
      </w:r>
      <w:r>
        <w:rPr>
          <w:rFonts w:hint="default" w:ascii="Times New Roman" w:hAnsi="Times New Roman" w:eastAsia="仿宋" w:cs="Times New Roman"/>
          <w:sz w:val="32"/>
          <w:szCs w:val="32"/>
        </w:rPr>
        <w:t>、氨氮、NO</w:t>
      </w:r>
      <w:r>
        <w:rPr>
          <w:rFonts w:hint="default" w:ascii="Times New Roman" w:hAnsi="Times New Roman" w:eastAsia="仿宋" w:cs="Times New Roman"/>
          <w:sz w:val="32"/>
          <w:szCs w:val="32"/>
          <w:vertAlign w:val="subscript"/>
        </w:rPr>
        <w:t>X</w:t>
      </w:r>
      <w:r>
        <w:rPr>
          <w:rFonts w:hint="default" w:ascii="Times New Roman" w:hAnsi="Times New Roman" w:eastAsia="仿宋" w:cs="Times New Roman"/>
          <w:sz w:val="32"/>
          <w:szCs w:val="32"/>
        </w:rPr>
        <w:t>等。某种主要污染物排放弹性系数，指园区内工业企业排放的某一种主要污染物排放总量的三年年均增长率与工业增加值三年年均增长率的比值。</w:t>
      </w:r>
    </w:p>
    <w:p w14:paraId="7FA17105">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：某种污染物排放弹性系数=某种污染物排放量创建周期年均增长率（%）/园区工业增加值创建周期年均增长率（%）；主要污染物排放弹性系数=主要污染物排放弹性系数之和/污染物个数。</w:t>
      </w:r>
    </w:p>
    <w:p w14:paraId="39F29DF9">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rPr>
        <w:t>）园区空气质量优良率（必选）</w:t>
      </w:r>
    </w:p>
    <w:p w14:paraId="4598AC39">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指空气质量优良天数占全年天数的比例。空气质量优良等级按照GB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3085《环境空气质量标准》确定。</w:t>
      </w:r>
    </w:p>
    <w:p w14:paraId="5A6BB2BE">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六</w:t>
      </w:r>
      <w:r>
        <w:rPr>
          <w:rFonts w:hint="default" w:ascii="Times New Roman" w:hAnsi="Times New Roman" w:eastAsia="楷体" w:cs="Times New Roman"/>
          <w:sz w:val="32"/>
          <w:szCs w:val="32"/>
        </w:rPr>
        <w:t>）绿化覆盖率（</w:t>
      </w:r>
      <w:r>
        <w:rPr>
          <w:rFonts w:hint="default" w:ascii="Times New Roman" w:hAnsi="Times New Roman" w:eastAsia="楷体" w:cs="Times New Roman"/>
          <w:sz w:val="32"/>
          <w:szCs w:val="32"/>
          <w:lang w:val="en-US" w:eastAsia="zh-CN"/>
        </w:rPr>
        <w:t>可</w:t>
      </w:r>
      <w:r>
        <w:rPr>
          <w:rFonts w:hint="default" w:ascii="Times New Roman" w:hAnsi="Times New Roman" w:eastAsia="楷体" w:cs="Times New Roman"/>
          <w:sz w:val="32"/>
          <w:szCs w:val="32"/>
        </w:rPr>
        <w:t>选）</w:t>
      </w:r>
    </w:p>
    <w:p w14:paraId="762FAF18">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园区内各类</w:t>
      </w:r>
      <w:r>
        <w:rPr>
          <w:rFonts w:hint="default" w:ascii="Times New Roman" w:hAnsi="Times New Roman" w:eastAsia="仿宋" w:cs="Times New Roman"/>
          <w:sz w:val="32"/>
          <w:szCs w:val="32"/>
          <w:lang w:val="en-US" w:eastAsia="zh-CN"/>
        </w:rPr>
        <w:t>绿地总面积</w:t>
      </w:r>
      <w:r>
        <w:rPr>
          <w:rFonts w:hint="default" w:ascii="Times New Roman" w:hAnsi="Times New Roman" w:eastAsia="仿宋" w:cs="Times New Roman"/>
          <w:sz w:val="32"/>
          <w:szCs w:val="32"/>
        </w:rPr>
        <w:t>与园区规划范围内用地总面积的比值。</w:t>
      </w:r>
    </w:p>
    <w:p w14:paraId="35755953">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绿色覆盖率（%）=园区内各类绿地总面积（m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）/园区用地总面积（m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14:paraId="597991F7">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（七）道路遮荫比例（可选）</w:t>
      </w:r>
    </w:p>
    <w:p w14:paraId="32B87DE0">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指道路两旁树冠垂直投影遮蔽的总阴影面积与步行道路总面积的比值。</w:t>
      </w:r>
    </w:p>
    <w:p w14:paraId="4B6A03F3">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道路遮荫比例（%）=道路两旁树冠垂直投影遮蔽的总阴影面积（m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）/步行道路总面积（m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）×100%。</w:t>
      </w:r>
    </w:p>
    <w:p w14:paraId="6AE7715D">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（八）露天停车场遮荫比例（可选）</w:t>
      </w:r>
    </w:p>
    <w:p w14:paraId="1136DDA3">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指标要求：</w:t>
      </w:r>
      <w:r>
        <w:rPr>
          <w:rFonts w:hint="default" w:ascii="Times New Roman" w:hAnsi="Times New Roman" w:eastAsia="仿宋" w:cs="Times New Roman"/>
          <w:sz w:val="32"/>
          <w:szCs w:val="32"/>
        </w:rPr>
        <w:t>露天停车场遮阴比例应达到80%。</w:t>
      </w:r>
    </w:p>
    <w:p w14:paraId="06D6F449">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指露天停车场树冠垂直投影遮蔽的总阴影面积与露天停车场总面积的比值。</w:t>
      </w:r>
    </w:p>
    <w:p w14:paraId="57199257">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bCs/>
          <w:sz w:val="32"/>
          <w:szCs w:val="32"/>
        </w:rPr>
        <w:t>计算公式：</w:t>
      </w:r>
      <w:r>
        <w:rPr>
          <w:rFonts w:hint="default" w:ascii="Times New Roman" w:hAnsi="Times New Roman" w:eastAsia="仿宋" w:cs="Times New Roman"/>
          <w:sz w:val="32"/>
          <w:szCs w:val="32"/>
        </w:rPr>
        <w:t>露天停车场遮荫比例（%）=露天停车场树冠垂直投影遮蔽的总阴影面积（m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）/露天停车场总面积（m</w:t>
      </w:r>
      <w:r>
        <w:rPr>
          <w:rFonts w:hint="default" w:ascii="Times New Roman" w:hAnsi="Times New Roman" w:eastAsia="仿宋" w:cs="Times New Roman"/>
          <w:sz w:val="32"/>
          <w:szCs w:val="32"/>
          <w:vertAlign w:val="superscript"/>
        </w:rPr>
        <w:t>2</w:t>
      </w:r>
      <w:r>
        <w:rPr>
          <w:rFonts w:hint="default" w:ascii="Times New Roman" w:hAnsi="Times New Roman" w:eastAsia="仿宋" w:cs="Times New Roman"/>
          <w:sz w:val="32"/>
          <w:szCs w:val="32"/>
        </w:rPr>
        <w:t>）</w:t>
      </w:r>
      <w:r>
        <w:rPr>
          <w:rFonts w:hint="default" w:ascii="Times New Roman" w:hAnsi="Times New Roman" w:eastAsia="仿宋" w:cs="Times New Roman"/>
          <w:color w:val="333333"/>
          <w:sz w:val="32"/>
          <w:szCs w:val="32"/>
          <w:shd w:val="clear" w:color="auto" w:fill="FFFFFF"/>
        </w:rPr>
        <w:t>×</w:t>
      </w:r>
      <w:r>
        <w:rPr>
          <w:rFonts w:hint="default" w:ascii="Times New Roman" w:hAnsi="Times New Roman" w:eastAsia="仿宋" w:cs="Times New Roman"/>
          <w:sz w:val="32"/>
          <w:szCs w:val="32"/>
        </w:rPr>
        <w:t>100%。</w:t>
      </w:r>
    </w:p>
    <w:p w14:paraId="5A0D963D">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七、运行管理绿色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指标（3个必选指标）</w:t>
      </w:r>
    </w:p>
    <w:p w14:paraId="01386BD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标准体系完善程度、编制</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发展规划、</w:t>
      </w:r>
      <w:r>
        <w:rPr>
          <w:rFonts w:hint="default" w:ascii="Times New Roman" w:hAnsi="Times New Roman" w:eastAsia="仿宋_GB2312" w:cs="Times New Roman"/>
          <w:sz w:val="32"/>
          <w:szCs w:val="32"/>
          <w:lang w:eastAsia="zh-CN"/>
        </w:rPr>
        <w:t>绿色工业园区</w:t>
      </w:r>
      <w:r>
        <w:rPr>
          <w:rFonts w:hint="default" w:ascii="Times New Roman" w:hAnsi="Times New Roman" w:eastAsia="仿宋_GB2312" w:cs="Times New Roman"/>
          <w:sz w:val="32"/>
          <w:szCs w:val="32"/>
        </w:rPr>
        <w:t>信息平台完善程度3个必选指标。</w:t>
      </w:r>
    </w:p>
    <w:p w14:paraId="7CC49558">
      <w:pPr>
        <w:ind w:firstLine="63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标准体系完善程度（必选）</w:t>
      </w:r>
    </w:p>
    <w:p w14:paraId="13CCF1B7">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主要考核是否建立与其产业链和主导产业相适应的</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14:paraId="4761B5BE">
      <w:pPr>
        <w:ind w:firstLine="630"/>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rPr>
        <w:t>（二）编制</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发展规划（必选）</w:t>
      </w:r>
    </w:p>
    <w:p w14:paraId="054670BA">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按照本实施方案的创建内容编制</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发展规划，原则上每五年编制一次。</w:t>
      </w:r>
    </w:p>
    <w:p w14:paraId="3C520FC9">
      <w:pPr>
        <w:ind w:firstLine="630"/>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（三）</w:t>
      </w:r>
      <w:r>
        <w:rPr>
          <w:rFonts w:hint="default" w:ascii="Times New Roman" w:hAnsi="Times New Roman" w:eastAsia="楷体" w:cs="Times New Roman"/>
          <w:sz w:val="32"/>
          <w:szCs w:val="32"/>
          <w:lang w:eastAsia="zh-CN"/>
        </w:rPr>
        <w:t>绿色工业园区</w:t>
      </w:r>
      <w:r>
        <w:rPr>
          <w:rFonts w:hint="default" w:ascii="Times New Roman" w:hAnsi="Times New Roman" w:eastAsia="楷体" w:cs="Times New Roman"/>
          <w:sz w:val="32"/>
          <w:szCs w:val="32"/>
        </w:rPr>
        <w:t>信息平台完善程度（必选）</w:t>
      </w:r>
    </w:p>
    <w:p w14:paraId="1D8EFED1">
      <w:pPr>
        <w:ind w:firstLine="640" w:firstLineChars="200"/>
        <w:rPr>
          <w:rFonts w:hint="default" w:ascii="Times New Roman" w:hAnsi="Times New Roman" w:eastAsia="仿宋" w:cs="Times New Roman"/>
        </w:rPr>
      </w:pPr>
      <w:r>
        <w:rPr>
          <w:rFonts w:hint="default" w:ascii="Times New Roman" w:hAnsi="Times New Roman" w:eastAsia="仿宋" w:cs="Times New Roman"/>
          <w:bCs/>
          <w:sz w:val="32"/>
          <w:szCs w:val="32"/>
        </w:rPr>
        <w:t>指标解释：</w:t>
      </w:r>
      <w:r>
        <w:rPr>
          <w:rFonts w:hint="default" w:ascii="Times New Roman" w:hAnsi="Times New Roman" w:eastAsia="仿宋" w:cs="Times New Roman"/>
          <w:sz w:val="32"/>
          <w:szCs w:val="32"/>
        </w:rPr>
        <w:t>主要考核是否创建局域网；是否定期在园区管委会网站、局域网或相关网站上发布</w:t>
      </w:r>
      <w:r>
        <w:rPr>
          <w:rFonts w:hint="default" w:ascii="Times New Roman" w:hAnsi="Times New Roman" w:eastAsia="仿宋" w:cs="Times New Roman"/>
          <w:sz w:val="32"/>
          <w:szCs w:val="32"/>
          <w:lang w:eastAsia="zh-CN"/>
        </w:rPr>
        <w:t>绿色工业园区</w:t>
      </w:r>
      <w:r>
        <w:rPr>
          <w:rFonts w:hint="default" w:ascii="Times New Roman" w:hAnsi="Times New Roman" w:eastAsia="仿宋" w:cs="Times New Roman"/>
          <w:sz w:val="32"/>
          <w:szCs w:val="32"/>
        </w:rPr>
        <w:t>建设和改造信息；是否在园区局域网上有园区主导行业清洁生产技术信息（主要包括原材料选择、节水、节能、环保等方面）、废物资源化技术信息、绿色建筑技术信息、绿色交通技术信息等。</w:t>
      </w:r>
    </w:p>
    <w:p w14:paraId="3B4A14EB">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大标宋">
    <w:altName w:val="微软雅黑"/>
    <w:panose1 w:val="02010609000101010101"/>
    <w:charset w:val="86"/>
    <w:family w:val="moder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419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6D051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46D051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A717F"/>
    <w:rsid w:val="20E45483"/>
    <w:rsid w:val="228A717F"/>
    <w:rsid w:val="687D2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0" w:beforeLines="0" w:after="120" w:afterLines="0" w:line="240" w:lineRule="auto"/>
      <w:ind w:firstLine="0" w:firstLineChars="0"/>
    </w:pPr>
    <w:rPr>
      <w:rFonts w:ascii="Calibri" w:hAnsi="Calibri" w:eastAsia="宋体" w:cs="Times New Roman"/>
    </w:rPr>
  </w:style>
  <w:style w:type="paragraph" w:styleId="3">
    <w:name w:val="Title"/>
    <w:basedOn w:val="1"/>
    <w:next w:val="1"/>
    <w:qFormat/>
    <w:uiPriority w:val="10"/>
    <w:pPr>
      <w:spacing w:before="240" w:after="60"/>
      <w:jc w:val="center"/>
    </w:pPr>
    <w:rPr>
      <w:rFonts w:eastAsia="方正小标宋简体"/>
      <w:bCs/>
      <w:sz w:val="44"/>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paragraph" w:customStyle="1" w:styleId="10">
    <w:name w:val="列出段落4"/>
    <w:basedOn w:val="1"/>
    <w:qFormat/>
    <w:uiPriority w:val="34"/>
    <w:pPr>
      <w:ind w:firstLine="420" w:firstLineChars="200"/>
    </w:pPr>
  </w:style>
  <w:style w:type="paragraph" w:customStyle="1" w:styleId="11">
    <w:name w:val="列出段落1"/>
    <w:basedOn w:val="1"/>
    <w:qFormat/>
    <w:uiPriority w:val="34"/>
    <w:pPr>
      <w:ind w:firstLine="420" w:firstLineChars="200"/>
    </w:pPr>
  </w:style>
  <w:style w:type="paragraph" w:customStyle="1" w:styleId="12">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5" Type="http://schemas.openxmlformats.org/officeDocument/2006/relationships/fontTable" Target="fontTable.xml"/><Relationship Id="rId44" Type="http://schemas.openxmlformats.org/officeDocument/2006/relationships/customXml" Target="../customXml/item1.xml"/><Relationship Id="rId43" Type="http://schemas.openxmlformats.org/officeDocument/2006/relationships/oleObject" Target="embeddings/oleObject25.bin"/><Relationship Id="rId42" Type="http://schemas.openxmlformats.org/officeDocument/2006/relationships/image" Target="media/image14.wmf"/><Relationship Id="rId41" Type="http://schemas.openxmlformats.org/officeDocument/2006/relationships/oleObject" Target="embeddings/oleObject24.bin"/><Relationship Id="rId40" Type="http://schemas.openxmlformats.org/officeDocument/2006/relationships/oleObject" Target="embeddings/oleObject23.bin"/><Relationship Id="rId4" Type="http://schemas.openxmlformats.org/officeDocument/2006/relationships/theme" Target="theme/theme1.xml"/><Relationship Id="rId39" Type="http://schemas.openxmlformats.org/officeDocument/2006/relationships/image" Target="media/image13.wmf"/><Relationship Id="rId38" Type="http://schemas.openxmlformats.org/officeDocument/2006/relationships/oleObject" Target="embeddings/oleObject22.bin"/><Relationship Id="rId37" Type="http://schemas.openxmlformats.org/officeDocument/2006/relationships/oleObject" Target="embeddings/oleObject21.bin"/><Relationship Id="rId36" Type="http://schemas.openxmlformats.org/officeDocument/2006/relationships/image" Target="media/image12.wmf"/><Relationship Id="rId35" Type="http://schemas.openxmlformats.org/officeDocument/2006/relationships/oleObject" Target="embeddings/oleObject20.bin"/><Relationship Id="rId34" Type="http://schemas.openxmlformats.org/officeDocument/2006/relationships/oleObject" Target="embeddings/oleObject19.bin"/><Relationship Id="rId33" Type="http://schemas.openxmlformats.org/officeDocument/2006/relationships/image" Target="media/image11.wmf"/><Relationship Id="rId32" Type="http://schemas.openxmlformats.org/officeDocument/2006/relationships/oleObject" Target="embeddings/oleObject18.bin"/><Relationship Id="rId31" Type="http://schemas.openxmlformats.org/officeDocument/2006/relationships/oleObject" Target="embeddings/oleObject17.bin"/><Relationship Id="rId30" Type="http://schemas.openxmlformats.org/officeDocument/2006/relationships/image" Target="media/image10.wmf"/><Relationship Id="rId3" Type="http://schemas.openxmlformats.org/officeDocument/2006/relationships/footer" Target="footer1.xml"/><Relationship Id="rId29" Type="http://schemas.openxmlformats.org/officeDocument/2006/relationships/oleObject" Target="embeddings/oleObject16.bin"/><Relationship Id="rId28" Type="http://schemas.openxmlformats.org/officeDocument/2006/relationships/oleObject" Target="embeddings/oleObject15.bin"/><Relationship Id="rId27" Type="http://schemas.openxmlformats.org/officeDocument/2006/relationships/image" Target="media/image9.wmf"/><Relationship Id="rId26" Type="http://schemas.openxmlformats.org/officeDocument/2006/relationships/oleObject" Target="embeddings/oleObject14.bin"/><Relationship Id="rId25" Type="http://schemas.openxmlformats.org/officeDocument/2006/relationships/oleObject" Target="embeddings/oleObject13.bin"/><Relationship Id="rId24" Type="http://schemas.openxmlformats.org/officeDocument/2006/relationships/image" Target="media/image8.wmf"/><Relationship Id="rId23" Type="http://schemas.openxmlformats.org/officeDocument/2006/relationships/oleObject" Target="embeddings/oleObject12.bin"/><Relationship Id="rId22" Type="http://schemas.openxmlformats.org/officeDocument/2006/relationships/oleObject" Target="embeddings/oleObject11.bin"/><Relationship Id="rId21" Type="http://schemas.openxmlformats.org/officeDocument/2006/relationships/image" Target="media/image7.wmf"/><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image" Target="media/image6.wmf"/><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image" Target="media/image5.wmf"/><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2025-03-10T07:13:00Z</dcterms:created>
  <dc:creator>夏天的海～</dc:creator>
  <cp:lastModifiedBy>夏天的海～</cp:lastModifiedBy>
  <dcterms:modified xsi:type="dcterms:W3CDTF">2025-03-10T07:15:43Z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16C67EE0022D4910AEEAEC56EE932A5E_13</vt:lpwstr>
  </property>
  <property fmtid="{D5CDD505-2E9C-101B-9397-08002B2CF9AE}" pid="4" name="KSOTemplateDocerSaveRecord">
    <vt:lpwstr>eyJoZGlkIjoiNDRkMWY5ZWI0OTRiZTk2M2IwZGQzNmYwYjBiZmZjY2EiLCJ1c2VySWQiOiIyMTU2ODU0MjYifQ==</vt:lpwstr>
  </property>
</Properties>
</file>