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w:t>
      </w:r>
      <w:bookmarkStart w:id="0" w:name="_GoBack"/>
      <w:bookmarkEnd w:id="0"/>
    </w:p>
    <w:p>
      <w:pPr>
        <w:widowControl w:val="0"/>
        <w:wordWrap/>
        <w:adjustRightInd/>
        <w:snapToGrid/>
        <w:spacing w:after="0" w:line="560" w:lineRule="exact"/>
        <w:ind w:firstLine="883" w:firstLineChars="200"/>
        <w:jc w:val="center"/>
        <w:textAlignment w:val="auto"/>
        <w:rPr>
          <w:rFonts w:hint="eastAsia" w:ascii="宋体" w:hAnsi="宋体" w:eastAsia="宋体" w:cs="宋体"/>
          <w:b/>
          <w:bCs/>
          <w:sz w:val="44"/>
          <w:szCs w:val="44"/>
          <w:lang w:val="en-US" w:eastAsia="zh-CN"/>
        </w:rPr>
      </w:pPr>
    </w:p>
    <w:p>
      <w:pPr>
        <w:widowControl w:val="0"/>
        <w:wordWrap/>
        <w:adjustRightInd/>
        <w:snapToGrid/>
        <w:spacing w:after="0" w:line="560" w:lineRule="exact"/>
        <w:ind w:firstLine="883" w:firstLineChars="200"/>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河北省“</w:t>
      </w:r>
      <w:r>
        <w:rPr>
          <w:rFonts w:hint="eastAsia" w:ascii="宋体" w:hAnsi="宋体" w:cs="宋体"/>
          <w:b/>
          <w:bCs/>
          <w:sz w:val="44"/>
          <w:szCs w:val="44"/>
          <w:lang w:val="en-US" w:eastAsia="zh-CN"/>
        </w:rPr>
        <w:t>无废园区</w:t>
      </w:r>
      <w:r>
        <w:rPr>
          <w:rFonts w:hint="eastAsia" w:ascii="宋体" w:hAnsi="宋体" w:eastAsia="宋体" w:cs="宋体"/>
          <w:b/>
          <w:bCs/>
          <w:sz w:val="44"/>
          <w:szCs w:val="44"/>
          <w:lang w:val="en-US" w:eastAsia="zh-CN"/>
        </w:rPr>
        <w:t>”</w:t>
      </w:r>
      <w:r>
        <w:rPr>
          <w:rFonts w:hint="eastAsia" w:ascii="宋体" w:hAnsi="宋体" w:cs="宋体"/>
          <w:b/>
          <w:bCs/>
          <w:sz w:val="44"/>
          <w:szCs w:val="44"/>
          <w:lang w:val="en-US" w:eastAsia="zh-CN"/>
        </w:rPr>
        <w:t>评价指标</w:t>
      </w:r>
    </w:p>
    <w:p>
      <w:pPr>
        <w:widowControl w:val="0"/>
        <w:wordWrap/>
        <w:adjustRightInd/>
        <w:snapToGrid/>
        <w:spacing w:after="0" w:line="560" w:lineRule="exact"/>
        <w:ind w:firstLine="883" w:firstLineChars="200"/>
        <w:jc w:val="left"/>
        <w:textAlignment w:val="auto"/>
        <w:rPr>
          <w:rFonts w:hint="default" w:ascii="宋体" w:hAnsi="宋体" w:eastAsia="宋体" w:cs="宋体"/>
          <w:b/>
          <w:bCs/>
          <w:sz w:val="44"/>
          <w:szCs w:val="44"/>
          <w:lang w:val="en-US" w:eastAsia="zh-CN"/>
        </w:rPr>
      </w:pPr>
    </w:p>
    <w:p>
      <w:pPr>
        <w:widowControl w:val="0"/>
        <w:numPr>
          <w:ilvl w:val="0"/>
          <w:numId w:val="1"/>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适用范围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本文件规定了河北省“无废园区”的评价指标和指标计算方法，适用于河北省“无废园区”申报、评价及管理。</w:t>
      </w:r>
      <w:r>
        <w:rPr>
          <w:rFonts w:hint="eastAsia" w:ascii="仿宋" w:hAnsi="仿宋" w:eastAsia="仿宋" w:cs="仿宋"/>
          <w:sz w:val="32"/>
          <w:szCs w:val="32"/>
          <w:highlight w:val="none"/>
          <w:lang w:val="en-US" w:eastAsia="zh-CN"/>
        </w:rPr>
        <w:t>已列入国家或省级绿色园区名单的予以优先支持。</w:t>
      </w:r>
    </w:p>
    <w:p>
      <w:pPr>
        <w:widowControl w:val="0"/>
        <w:numPr>
          <w:ilvl w:val="0"/>
          <w:numId w:val="1"/>
        </w:numPr>
        <w:wordWrap/>
        <w:adjustRightInd/>
        <w:snapToGrid/>
        <w:spacing w:after="0"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sz w:val="32"/>
          <w:szCs w:val="32"/>
          <w:lang w:val="en-US" w:eastAsia="zh-CN"/>
        </w:rPr>
        <w:t>评价指标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“无废园区”评价指标体系包括工业固体废物源头减量指标、工业固体废物资源化利用指标、工业固体废物最终处置指标、园区保障能力指标、群众获得感指标5个方面，具体如表1.1所示。</w:t>
      </w:r>
    </w:p>
    <w:p>
      <w:pPr>
        <w:pStyle w:val="4"/>
        <w:jc w:val="center"/>
        <w:rPr>
          <w:rFonts w:hint="default"/>
          <w:lang w:val="en-US" w:eastAsia="zh-CN"/>
        </w:rPr>
      </w:pPr>
      <w:r>
        <w:rPr>
          <w:rFonts w:hint="eastAsia" w:ascii="黑体" w:hAnsi="黑体" w:eastAsia="黑体" w:cs="黑体"/>
          <w:lang w:val="en-US" w:eastAsia="zh-CN"/>
        </w:rPr>
        <w:t>表1.1  “无废园区”评价指标体系</w:t>
      </w:r>
    </w:p>
    <w:tbl>
      <w:tblPr>
        <w:tblStyle w:val="5"/>
        <w:tblW w:w="8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010"/>
        <w:gridCol w:w="2985"/>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一级指标</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rPr>
            </w:pPr>
            <w:r>
              <w:rPr>
                <w:rFonts w:hint="eastAsia" w:ascii="仿宋_GB2312" w:hAnsi="仿宋_GB2312" w:eastAsia="仿宋_GB2312" w:cs="仿宋_GB2312"/>
                <w:color w:val="auto"/>
                <w:spacing w:val="6"/>
                <w:sz w:val="24"/>
                <w:szCs w:val="24"/>
              </w:rPr>
              <w:t>二级指标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spacing w:before="119" w:line="221" w:lineRule="auto"/>
              <w:ind w:firstLine="5"/>
              <w:jc w:val="center"/>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rPr>
              <w:t>指标要</w:t>
            </w:r>
            <w:r>
              <w:rPr>
                <w:rFonts w:hint="eastAsia" w:ascii="仿宋_GB2312" w:hAnsi="仿宋_GB2312" w:eastAsia="仿宋_GB2312" w:cs="仿宋_GB2312"/>
                <w:color w:val="auto"/>
                <w:spacing w:val="6"/>
                <w:sz w:val="24"/>
                <w:szCs w:val="24"/>
                <w:lang w:val="en-US" w:eastAsia="zh-CN"/>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源头减量</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4"/>
                <w:sz w:val="24"/>
                <w:szCs w:val="24"/>
                <w:lang w:val="en-US" w:eastAsia="zh-CN"/>
              </w:rPr>
            </w:pPr>
            <w:r>
              <w:rPr>
                <w:rFonts w:hint="eastAsia" w:ascii="仿宋_GB2312" w:hAnsi="仿宋_GB2312" w:eastAsia="仿宋_GB2312" w:cs="仿宋_GB2312"/>
                <w:color w:val="auto"/>
                <w:spacing w:val="4"/>
                <w:sz w:val="24"/>
                <w:szCs w:val="24"/>
                <w:lang w:val="en-US" w:eastAsia="zh-CN"/>
              </w:rPr>
              <w:t>园区产业链实施情况</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3"/>
                <w:sz w:val="24"/>
                <w:szCs w:val="24"/>
                <w:lang w:val="en-US" w:eastAsia="zh-CN"/>
              </w:rPr>
              <w:t>已实施或拟实施一项园区内消纳工业固废的产业链衔接性项目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2</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体废物产生</w:t>
            </w:r>
            <w:r>
              <w:rPr>
                <w:rFonts w:hint="eastAsia" w:ascii="仿宋_GB2312" w:hAnsi="仿宋_GB2312" w:eastAsia="仿宋_GB2312" w:cs="仿宋_GB2312"/>
                <w:color w:val="auto"/>
                <w:spacing w:val="7"/>
                <w:sz w:val="24"/>
                <w:szCs w:val="24"/>
              </w:rPr>
              <w:t>强度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lang w:val="en-US" w:eastAsia="zh-CN"/>
              </w:rPr>
              <w:t>零增长或</w:t>
            </w:r>
            <w:r>
              <w:rPr>
                <w:rFonts w:hint="eastAsia" w:ascii="仿宋_GB2312" w:hAnsi="仿宋_GB2312" w:eastAsia="仿宋_GB2312" w:cs="仿宋_GB2312"/>
                <w:color w:val="auto"/>
                <w:spacing w:val="3"/>
                <w:sz w:val="24"/>
                <w:szCs w:val="24"/>
              </w:rPr>
              <w:t>逐年降低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rPr>
            </w:pPr>
            <w:r>
              <w:rPr>
                <w:rFonts w:hint="eastAsia" w:ascii="仿宋_GB2312" w:hAnsi="仿宋_GB2312" w:eastAsia="仿宋_GB2312" w:cs="仿宋_GB2312"/>
                <w:color w:val="auto"/>
                <w:spacing w:val="-2"/>
                <w:sz w:val="24"/>
                <w:szCs w:val="24"/>
              </w:rPr>
              <w:t>通过清洁生产审核评估</w:t>
            </w:r>
          </w:p>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pacing w:val="3"/>
                <w:sz w:val="24"/>
                <w:szCs w:val="24"/>
              </w:rPr>
              <w:t>工业企业</w:t>
            </w:r>
            <w:r>
              <w:rPr>
                <w:rFonts w:hint="eastAsia" w:ascii="仿宋_GB2312" w:hAnsi="仿宋_GB2312" w:eastAsia="仿宋_GB2312" w:cs="仿宋_GB2312"/>
                <w:color w:val="auto"/>
                <w:spacing w:val="3"/>
                <w:sz w:val="24"/>
                <w:szCs w:val="24"/>
                <w:lang w:val="en-US" w:eastAsia="zh-CN"/>
              </w:rPr>
              <w:t>占比</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rPr>
              <w:t>重点行业清洁生产审核实现</w:t>
            </w:r>
            <w:r>
              <w:rPr>
                <w:rFonts w:hint="eastAsia" w:ascii="仿宋_GB2312" w:hAnsi="仿宋_GB2312" w:eastAsia="仿宋_GB2312" w:cs="仿宋_GB2312"/>
                <w:color w:val="auto"/>
                <w:spacing w:val="2"/>
                <w:sz w:val="24"/>
                <w:szCs w:val="24"/>
              </w:rPr>
              <w:t xml:space="preserve"> </w:t>
            </w:r>
            <w:r>
              <w:rPr>
                <w:rFonts w:hint="eastAsia" w:ascii="仿宋_GB2312" w:hAnsi="仿宋_GB2312" w:eastAsia="仿宋_GB2312" w:cs="仿宋_GB2312"/>
                <w:color w:val="auto"/>
                <w:spacing w:val="1"/>
                <w:sz w:val="24"/>
                <w:szCs w:val="24"/>
              </w:rPr>
              <w:t>100%覆盖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4</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3"/>
                <w:sz w:val="24"/>
                <w:szCs w:val="24"/>
              </w:rPr>
            </w:pPr>
            <w:r>
              <w:rPr>
                <w:rFonts w:hint="eastAsia" w:ascii="仿宋_GB2312" w:hAnsi="仿宋_GB2312" w:eastAsia="仿宋_GB2312" w:cs="仿宋_GB2312"/>
                <w:color w:val="auto"/>
                <w:spacing w:val="2"/>
                <w:sz w:val="24"/>
                <w:szCs w:val="24"/>
              </w:rPr>
              <w:t>开展绿色工</w:t>
            </w:r>
            <w:r>
              <w:rPr>
                <w:rFonts w:hint="eastAsia" w:ascii="仿宋_GB2312" w:hAnsi="仿宋_GB2312" w:eastAsia="仿宋_GB2312" w:cs="仿宋_GB2312"/>
                <w:color w:val="auto"/>
                <w:spacing w:val="-3"/>
                <w:sz w:val="24"/>
                <w:szCs w:val="24"/>
              </w:rPr>
              <w:t>厂建设的</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3"/>
                <w:sz w:val="24"/>
                <w:szCs w:val="24"/>
              </w:rPr>
              <w:t>企</w:t>
            </w:r>
            <w:r>
              <w:rPr>
                <w:rFonts w:hint="eastAsia" w:ascii="仿宋_GB2312" w:hAnsi="仿宋_GB2312" w:eastAsia="仿宋_GB2312" w:cs="仿宋_GB2312"/>
                <w:color w:val="auto"/>
                <w:spacing w:val="4"/>
                <w:sz w:val="24"/>
                <w:szCs w:val="24"/>
              </w:rPr>
              <w:t>业数量</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eastAsia="zh-CN"/>
              </w:rPr>
            </w:pPr>
            <w:r>
              <w:rPr>
                <w:rFonts w:hint="eastAsia" w:ascii="仿宋_GB2312" w:hAnsi="仿宋_GB2312" w:eastAsia="仿宋_GB2312" w:cs="仿宋_GB2312"/>
                <w:color w:val="auto"/>
                <w:sz w:val="24"/>
                <w:szCs w:val="24"/>
                <w:vertAlign w:val="baseline"/>
                <w:lang w:val="en-US" w:eastAsia="zh-CN"/>
              </w:rPr>
              <w:t>占比不低于10 %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5</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z w:val="24"/>
                <w:szCs w:val="24"/>
              </w:rPr>
              <w:t>固体废物</w:t>
            </w:r>
            <w:r>
              <w:rPr>
                <w:rFonts w:hint="eastAsia" w:ascii="仿宋_GB2312" w:hAnsi="仿宋_GB2312" w:eastAsia="仿宋_GB2312" w:cs="仿宋_GB2312"/>
                <w:color w:val="auto"/>
                <w:spacing w:val="3"/>
                <w:sz w:val="24"/>
                <w:szCs w:val="24"/>
              </w:rPr>
              <w:t>资源化利</w:t>
            </w:r>
            <w:r>
              <w:rPr>
                <w:rFonts w:hint="eastAsia" w:ascii="仿宋_GB2312" w:hAnsi="仿宋_GB2312" w:eastAsia="仿宋_GB2312" w:cs="仿宋_GB2312"/>
                <w:color w:val="auto"/>
                <w:sz w:val="24"/>
                <w:szCs w:val="24"/>
              </w:rPr>
              <w:t>用</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工业固</w:t>
            </w:r>
            <w:r>
              <w:rPr>
                <w:rFonts w:hint="eastAsia" w:ascii="仿宋_GB2312" w:hAnsi="仿宋_GB2312" w:eastAsia="仿宋_GB2312" w:cs="仿宋_GB2312"/>
                <w:color w:val="auto"/>
                <w:spacing w:val="-2"/>
                <w:sz w:val="24"/>
                <w:szCs w:val="24"/>
              </w:rPr>
              <w:t>体废物综合</w:t>
            </w:r>
            <w:r>
              <w:rPr>
                <w:rFonts w:hint="eastAsia" w:ascii="仿宋_GB2312" w:hAnsi="仿宋_GB2312" w:eastAsia="仿宋_GB2312" w:cs="仿宋_GB2312"/>
                <w:color w:val="auto"/>
                <w:spacing w:val="5"/>
                <w:sz w:val="24"/>
                <w:szCs w:val="24"/>
              </w:rPr>
              <w:t>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不低于60%，且（或）逐年提高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6</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2"/>
                <w:sz w:val="24"/>
                <w:szCs w:val="24"/>
                <w:lang w:val="en-US" w:eastAsia="zh-CN"/>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pacing w:val="4"/>
                <w:sz w:val="24"/>
                <w:szCs w:val="24"/>
              </w:rPr>
            </w:pPr>
            <w:r>
              <w:rPr>
                <w:rFonts w:hint="eastAsia" w:ascii="仿宋_GB2312" w:hAnsi="仿宋_GB2312" w:eastAsia="仿宋_GB2312" w:cs="仿宋_GB2312"/>
                <w:color w:val="auto"/>
                <w:spacing w:val="4"/>
                <w:sz w:val="24"/>
                <w:szCs w:val="24"/>
              </w:rPr>
              <w:t>再生资源回收利用率</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val="en-US" w:eastAsia="zh-CN"/>
              </w:rPr>
              <w:t>逐年提高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7</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工业</w:t>
            </w:r>
            <w:r>
              <w:rPr>
                <w:rFonts w:hint="eastAsia" w:ascii="仿宋_GB2312" w:hAnsi="仿宋_GB2312" w:eastAsia="仿宋_GB2312" w:cs="仿宋_GB2312"/>
                <w:color w:val="auto"/>
                <w:spacing w:val="2"/>
                <w:sz w:val="24"/>
                <w:szCs w:val="24"/>
              </w:rPr>
              <w:t>固体废物</w:t>
            </w:r>
            <w:r>
              <w:rPr>
                <w:rFonts w:hint="eastAsia" w:ascii="仿宋_GB2312" w:hAnsi="仿宋_GB2312" w:eastAsia="仿宋_GB2312" w:cs="仿宋_GB2312"/>
                <w:color w:val="auto"/>
                <w:spacing w:val="-3"/>
                <w:sz w:val="24"/>
                <w:szCs w:val="24"/>
              </w:rPr>
              <w:t>最终处置</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4"/>
                <w:sz w:val="24"/>
                <w:szCs w:val="24"/>
              </w:rPr>
              <w:t>一般工业固</w:t>
            </w:r>
            <w:r>
              <w:rPr>
                <w:rFonts w:hint="eastAsia" w:ascii="仿宋_GB2312" w:hAnsi="仿宋_GB2312" w:eastAsia="仿宋_GB2312" w:cs="仿宋_GB2312"/>
                <w:color w:val="auto"/>
                <w:spacing w:val="-2"/>
                <w:sz w:val="24"/>
                <w:szCs w:val="24"/>
              </w:rPr>
              <w:t>体废物贮存</w:t>
            </w:r>
            <w:r>
              <w:rPr>
                <w:rFonts w:hint="eastAsia" w:ascii="仿宋_GB2312" w:hAnsi="仿宋_GB2312" w:eastAsia="仿宋_GB2312" w:cs="仿宋_GB2312"/>
                <w:color w:val="auto"/>
                <w:spacing w:val="1"/>
                <w:sz w:val="24"/>
                <w:szCs w:val="24"/>
              </w:rPr>
              <w:t xml:space="preserve"> 处置下降幅</w:t>
            </w:r>
            <w:r>
              <w:rPr>
                <w:rFonts w:hint="eastAsia" w:ascii="仿宋_GB2312" w:hAnsi="仿宋_GB2312" w:eastAsia="仿宋_GB2312" w:cs="仿宋_GB2312"/>
                <w:color w:val="auto"/>
                <w:spacing w:val="11"/>
                <w:sz w:val="24"/>
                <w:szCs w:val="24"/>
              </w:rPr>
              <w:t>度</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pacing w:val="-2"/>
                <w:sz w:val="24"/>
                <w:szCs w:val="24"/>
                <w:lang w:val="en-US" w:eastAsia="zh-CN"/>
              </w:rPr>
              <w:t>零增长或</w:t>
            </w:r>
            <w:r>
              <w:rPr>
                <w:rFonts w:hint="eastAsia" w:ascii="仿宋_GB2312" w:hAnsi="仿宋_GB2312" w:eastAsia="仿宋_GB2312" w:cs="仿宋_GB2312"/>
                <w:color w:val="auto"/>
                <w:spacing w:val="-2"/>
                <w:sz w:val="24"/>
                <w:szCs w:val="24"/>
              </w:rPr>
              <w:t>逐年下降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8</w:t>
            </w:r>
          </w:p>
        </w:tc>
        <w:tc>
          <w:tcPr>
            <w:tcW w:w="20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园区保障能力</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制度体系建设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9</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技术体系建设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10</w:t>
            </w:r>
          </w:p>
        </w:tc>
        <w:tc>
          <w:tcPr>
            <w:tcW w:w="20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监管体系建设</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11</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群众获得感</w:t>
            </w:r>
          </w:p>
        </w:tc>
        <w:tc>
          <w:tcPr>
            <w:tcW w:w="2985"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w:t>
            </w:r>
            <w:r>
              <w:rPr>
                <w:rFonts w:hint="eastAsia" w:ascii="仿宋_GB2312" w:hAnsi="仿宋_GB2312" w:eastAsia="仿宋_GB2312" w:cs="仿宋_GB2312"/>
                <w:color w:val="auto"/>
                <w:sz w:val="24"/>
                <w:szCs w:val="24"/>
                <w:vertAlign w:val="baseline"/>
                <w:lang w:eastAsia="zh-CN"/>
              </w:rPr>
              <w:t>无废园区</w:t>
            </w:r>
            <w:r>
              <w:rPr>
                <w:rFonts w:hint="eastAsia" w:ascii="仿宋_GB2312" w:hAnsi="仿宋_GB2312" w:eastAsia="仿宋_GB2312" w:cs="仿宋_GB2312"/>
                <w:color w:val="auto"/>
                <w:sz w:val="24"/>
                <w:szCs w:val="24"/>
                <w:vertAlign w:val="baseline"/>
              </w:rPr>
              <w:t>”建设</w:t>
            </w:r>
          </w:p>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rPr>
              <w:t>宣传教育</w:t>
            </w:r>
          </w:p>
        </w:tc>
        <w:tc>
          <w:tcPr>
            <w:tcW w:w="2500" w:type="dxa"/>
            <w:tcBorders>
              <w:top w:val="single" w:color="auto" w:sz="4" w:space="0"/>
              <w:left w:val="single" w:color="auto" w:sz="4" w:space="0"/>
              <w:bottom w:val="single" w:color="auto" w:sz="4" w:space="0"/>
              <w:right w:val="single" w:color="auto" w:sz="4" w:space="0"/>
            </w:tcBorders>
            <w:noWrap w:val="0"/>
            <w:vAlign w:val="center"/>
          </w:tcPr>
          <w:p>
            <w:pPr>
              <w:widowControl w:val="0"/>
              <w:jc w:val="center"/>
              <w:rPr>
                <w:rFonts w:hint="eastAsia" w:ascii="仿宋_GB2312" w:hAnsi="仿宋_GB2312" w:eastAsia="仿宋_GB2312" w:cs="仿宋_GB2312"/>
                <w:color w:val="auto"/>
                <w:sz w:val="24"/>
                <w:szCs w:val="24"/>
                <w:vertAlign w:val="baseline"/>
              </w:rPr>
            </w:pPr>
            <w:r>
              <w:rPr>
                <w:rFonts w:hint="eastAsia" w:ascii="仿宋_GB2312" w:hAnsi="仿宋_GB2312" w:eastAsia="仿宋_GB2312" w:cs="仿宋_GB2312"/>
                <w:color w:val="auto"/>
                <w:sz w:val="24"/>
                <w:szCs w:val="24"/>
                <w:vertAlign w:val="baseline"/>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评价指标解释</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color w:val="auto"/>
          <w:sz w:val="32"/>
          <w:szCs w:val="32"/>
          <w:lang w:val="en-US" w:eastAsia="zh-CN"/>
        </w:rPr>
        <w:t>工业固体废物源头减量指标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园区产业链实施情况</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指园区已实施或拟实施产业链招商、补链招商，建设和引进关键链接项目情况。</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工业固体废物产生强度</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指纳入固体废物申报登记范围的工业企业,每万元工业增加值的一般工业固体废物产生量。该指标是用于促进全面降低一般工业固体废物产生强度的综合性指标。</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一般工业固体废物产生强度=一般工业固体废物产生量÷工业增加值</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通过清洁生产审核评估工业企业占比</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指需开展清洁生产审核评估的工业企业中,按《清洁生产审核评估与验收指南》(环办科技〔2018〕5号)要求通过审核评估的工业企业数量占比。应重点抓好钢铁、建材、有色、化工、石化、电力、煤炭等行业清洁生产审核。该指标用于促进企业实施清洁生产,从源头控制资源和能源消耗, 提高资源利用效率,削减固体废物产生量,减少进入最终处置环节的固体废物量。</w:t>
      </w:r>
    </w:p>
    <w:p>
      <w:pPr>
        <w:pStyle w:val="2"/>
        <w:numPr>
          <w:ilvl w:val="0"/>
          <w:numId w:val="0"/>
        </w:num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通过清洁生产审核评估工业企业占比(%)=通过清洁生产审核评估的工业企业数量÷需开展清洁生产审核评估的工业企业数量×100%</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开展绿色工厂建设的企业数量</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绿色工厂是指按照《绿色工厂评价通则》(GB/T 36132)和相关行业绿色工厂评价导则,实现了用地集约化、原料无害化、生产洁净化、废物资源化、能源低碳化的工厂,包括国家级、省级等各级绿色工厂。该指标用于促进工厂减少有害原材料的使用,提高原材料使用效率和工业固体废物综合利用率。</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工业固体废物资源化利用指标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工业固体废物综合利用率</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指一般工业固体废物综合利用量与一般工业固体废物产生量(包括综合利用往年贮存量)的比率。该指标用于促进一般工业固体废物综合利用,减少工业资源、能源消耗</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一般工业固体废物综合利用率(%)=一般工业固体废物综合利用量÷(当年一般工业固体废物产生量十综合利用往年贮存量)×100%</w:t>
      </w:r>
      <w:r>
        <w:rPr>
          <w:rFonts w:hint="eastAsia" w:ascii="仿宋_GB2312" w:hAnsi="仿宋_GB2312" w:eastAsia="仿宋_GB2312" w:cs="仿宋_GB2312"/>
          <w:sz w:val="32"/>
          <w:szCs w:val="32"/>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再生资源回收利用率</w:t>
      </w:r>
    </w:p>
    <w:p>
      <w:pPr>
        <w:ind w:firstLine="630"/>
        <w:rPr>
          <w:rFonts w:hint="eastAsia" w:ascii="仿宋_GB2312" w:hAnsi="仿宋_GB2312" w:eastAsia="仿宋_GB2312" w:cs="仿宋_GB2312"/>
          <w:b/>
          <w:bCs/>
          <w:sz w:val="32"/>
          <w:szCs w:val="24"/>
          <w:lang w:val="en-US" w:eastAsia="zh-CN"/>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sz w:val="32"/>
          <w:szCs w:val="32"/>
        </w:rPr>
        <w:t>适用于再生资源类园区，指园区内再生资源的循环利用量与再生资源收集量的比值。再生资源主要包括但不限于废钢铁、废有色金属、废纸、废塑料、废旧纺织品、废旧木材、废旧轮胎、废矿物油、废弃电器电子产品、报废汽车等。</w:t>
      </w:r>
    </w:p>
    <w:p>
      <w:pPr>
        <w:pStyle w:val="2"/>
        <w:numPr>
          <w:ilvl w:val="0"/>
          <w:numId w:val="0"/>
        </w:numPr>
        <w:spacing w:line="360"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再生资源回收利用率（%）=再生资源循环利用量/再生资源收集量×100%</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工业固体废物最终处置指标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一般工业固体废物贮存处置下降幅度</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指当年一般工业固体废物贮存处置量与基准年相比下降的幅度。该指标用于促进减少一般工业固体废物贮存处置量</w:t>
      </w:r>
      <w:r>
        <w:rPr>
          <w:rFonts w:hint="eastAsia" w:ascii="仿宋_GB2312" w:hAnsi="仿宋_GB2312" w:eastAsia="仿宋_GB2312" w:cs="仿宋_GB2312"/>
          <w:sz w:val="32"/>
          <w:szCs w:val="24"/>
        </w:rPr>
        <w:t>。</w:t>
      </w:r>
    </w:p>
    <w:p>
      <w:pPr>
        <w:pStyle w:val="2"/>
        <w:numPr>
          <w:ilvl w:val="0"/>
          <w:numId w:val="0"/>
        </w:numPr>
        <w:spacing w:line="360" w:lineRule="auto"/>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24"/>
          <w:lang w:val="en-US" w:eastAsia="zh-CN"/>
        </w:rPr>
        <w:t>计算公式：</w:t>
      </w:r>
      <w:r>
        <w:rPr>
          <w:rFonts w:hint="eastAsia" w:ascii="仿宋_GB2312" w:hAnsi="仿宋_GB2312" w:eastAsia="仿宋_GB2312" w:cs="仿宋_GB2312"/>
          <w:b w:val="0"/>
          <w:bCs w:val="0"/>
          <w:sz w:val="32"/>
          <w:szCs w:val="32"/>
          <w:lang w:val="en-US" w:eastAsia="zh-CN"/>
        </w:rPr>
        <w:t>一般工业固体废物贮存处置量下降幅度(%)=(基准年一般工业固体废物贮存处置量一评价年一般工业固体废物贮存处置量)÷基准年一般工业固体废物贮存处置量×100%</w:t>
      </w:r>
      <w:r>
        <w:rPr>
          <w:rFonts w:hint="eastAsia" w:ascii="仿宋_GB2312" w:hAnsi="仿宋_GB2312" w:eastAsia="仿宋_GB2312" w:cs="仿宋_GB2312"/>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园区保障能力指标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制度体系建设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指园区推动固体废物在园区内、厂区内协同循环利用，提高固废就地资源化效率等制定的相关标准体系、制度的建设及“无废园区”发展规划的编制情况等</w:t>
      </w:r>
      <w:r>
        <w:rPr>
          <w:rFonts w:hint="eastAsia" w:ascii="仿宋_GB2312" w:hAnsi="仿宋_GB2312" w:eastAsia="仿宋_GB2312" w:cs="仿宋_GB2312"/>
          <w:sz w:val="32"/>
          <w:szCs w:val="24"/>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技术体系建设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指园区推动固体废物在园区内、厂区内协同循环利用，提高固废就地资源化效率等而建设的园区信息平台情况</w:t>
      </w:r>
      <w:r>
        <w:rPr>
          <w:rFonts w:hint="eastAsia" w:ascii="仿宋_GB2312" w:hAnsi="仿宋_GB2312" w:eastAsia="仿宋_GB2312" w:cs="仿宋_GB2312"/>
          <w:sz w:val="32"/>
          <w:szCs w:val="24"/>
        </w:rPr>
        <w:t>。</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监管体系建设</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指园区依法及时公开固体废物污染环境防治信息，主动接受社会监督等情况</w:t>
      </w:r>
      <w:r>
        <w:rPr>
          <w:rFonts w:hint="eastAsia" w:ascii="仿宋_GB2312" w:hAnsi="仿宋_GB2312" w:eastAsia="仿宋_GB2312" w:cs="仿宋_GB2312"/>
          <w:sz w:val="32"/>
          <w:szCs w:val="24"/>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640" w:leftChars="0" w:right="0" w:rightChars="0" w:firstLine="640" w:firstLineChars="0"/>
        <w:jc w:val="both"/>
        <w:textAlignment w:val="auto"/>
        <w:outlineLvl w:val="9"/>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群众获得感指标</w:t>
      </w:r>
    </w:p>
    <w:p>
      <w:pPr>
        <w:pStyle w:val="2"/>
        <w:numPr>
          <w:ilvl w:val="0"/>
          <w:numId w:val="3"/>
        </w:numPr>
        <w:spacing w:line="360" w:lineRule="auto"/>
        <w:ind w:left="600"/>
        <w:rPr>
          <w:rFonts w:hint="eastAsia" w:ascii="仿宋_GB2312" w:hAnsi="仿宋_GB2312" w:eastAsia="仿宋_GB2312" w:cs="仿宋_GB2312"/>
          <w:sz w:val="32"/>
          <w:szCs w:val="24"/>
          <w:lang w:eastAsia="zh-CN"/>
        </w:rPr>
      </w:pPr>
      <w:r>
        <w:rPr>
          <w:rFonts w:hint="eastAsia" w:ascii="仿宋_GB2312" w:hAnsi="仿宋_GB2312" w:eastAsia="仿宋_GB2312" w:cs="仿宋_GB2312"/>
          <w:sz w:val="32"/>
          <w:szCs w:val="24"/>
          <w:lang w:eastAsia="zh-CN"/>
        </w:rPr>
        <w:t>“无废园区”建设宣传教育</w:t>
      </w:r>
    </w:p>
    <w:p>
      <w:pPr>
        <w:ind w:firstLine="630"/>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指标解释：</w:t>
      </w:r>
      <w:r>
        <w:rPr>
          <w:rFonts w:hint="eastAsia" w:ascii="仿宋_GB2312" w:hAnsi="仿宋_GB2312" w:eastAsia="仿宋_GB2312" w:cs="仿宋_GB2312"/>
          <w:b w:val="0"/>
          <w:bCs w:val="0"/>
          <w:sz w:val="32"/>
          <w:szCs w:val="24"/>
          <w:lang w:val="en-US" w:eastAsia="zh-CN"/>
        </w:rPr>
        <w:t>指园区组织以“无废园区”为主题的科普活动，设置宣传栏或相关海报、显示屏等，定期更新“无废园区”宣讲知识等情况</w:t>
      </w:r>
      <w:r>
        <w:rPr>
          <w:rFonts w:hint="eastAsia" w:ascii="仿宋_GB2312" w:hAnsi="仿宋_GB2312" w:eastAsia="仿宋_GB2312" w:cs="仿宋_GB2312"/>
          <w:sz w:val="32"/>
          <w:szCs w:val="24"/>
        </w:rPr>
        <w:t>。</w:t>
      </w:r>
    </w:p>
    <w:p>
      <w:pPr>
        <w:bidi w:val="0"/>
        <w:rPr>
          <w:rFonts w:hint="eastAsia" w:ascii="Times New Roman" w:hAnsi="Times New Roman"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560"/>
        </w:tabs>
        <w:bidi w:val="0"/>
        <w:jc w:val="left"/>
        <w:rPr>
          <w:rFonts w:hint="eastAsia"/>
          <w:lang w:val="en-US" w:eastAsia="zh-CN"/>
        </w:rPr>
        <w:sectPr>
          <w:pgSz w:w="11906" w:h="16838"/>
          <w:pgMar w:top="1440" w:right="1800" w:bottom="1440" w:left="1800" w:header="851" w:footer="992" w:gutter="0"/>
          <w:cols w:space="720" w:num="1"/>
          <w:docGrid w:type="lines" w:linePitch="312" w:charSpace="0"/>
        </w:sectPr>
      </w:pPr>
      <w:r>
        <w:rPr>
          <w:rFonts w:hint="default"/>
          <w:lang w:val="en-US" w:eastAsia="zh-CN"/>
        </w:rPr>
        <w:tab/>
      </w:r>
    </w:p>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chineseCounting"/>
      <w:suff w:val="nothing"/>
      <w:lvlText w:val="%1、"/>
      <w:lvlJc w:val="left"/>
      <w:rPr>
        <w:rFonts w:hint="eastAsia"/>
      </w:rPr>
    </w:lvl>
  </w:abstractNum>
  <w:abstractNum w:abstractNumId="1">
    <w:nsid w:val="00000009"/>
    <w:multiLevelType w:val="singleLevel"/>
    <w:tmpl w:val="00000009"/>
    <w:lvl w:ilvl="0" w:tentative="0">
      <w:start w:val="1"/>
      <w:numFmt w:val="decimal"/>
      <w:suff w:val="nothing"/>
      <w:lvlText w:val="（%1）"/>
      <w:lvlJc w:val="left"/>
    </w:lvl>
  </w:abstractNum>
  <w:abstractNum w:abstractNumId="2">
    <w:nsid w:val="0000000A"/>
    <w:multiLevelType w:val="singleLevel"/>
    <w:tmpl w:val="0000000A"/>
    <w:lvl w:ilvl="0" w:tentative="0">
      <w:start w:val="1"/>
      <w:numFmt w:val="chineseCounting"/>
      <w:suff w:val="nothing"/>
      <w:lvlText w:val="（%1）"/>
      <w:lvlJc w:val="left"/>
      <w:pPr>
        <w:tabs>
          <w:tab w:val="left" w:pos="0"/>
        </w:tabs>
        <w:ind w:left="-64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MzM0M2I0NzFlYmI5OTQ3YzhjNTk2ZWZhNTU1M2IifQ=="/>
  </w:docVars>
  <w:rsids>
    <w:rsidRoot w:val="5E3F16CF"/>
    <w:rsid w:val="5E3F16CF"/>
    <w:rsid w:val="6E087975"/>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List Paragraph"/>
    <w:basedOn w:val="1"/>
    <w:next w:val="1"/>
    <w:qFormat/>
    <w:uiPriority w:val="0"/>
    <w:pPr>
      <w:ind w:left="240" w:firstLine="479"/>
    </w:pPr>
    <w:rPr>
      <w:rFonts w:ascii="宋体" w:hAnsi="宋体" w:eastAsia="宋体" w:cs="宋体"/>
      <w:lang w:val="zh-CN" w:eastAsia="zh-CN" w:bidi="zh-CN"/>
    </w:rPr>
  </w:style>
  <w:style w:type="paragraph" w:styleId="4">
    <w:name w:val="Normal Indent"/>
    <w:basedOn w:val="1"/>
    <w:qFormat/>
    <w:uiPriority w:val="0"/>
    <w:pPr>
      <w:snapToGrid w:val="0"/>
      <w:spacing w:line="360" w:lineRule="auto"/>
      <w:ind w:firstLine="420" w:firstLineChars="200"/>
    </w:pPr>
    <w:rPr>
      <w:rFonts w:ascii="宋体" w:hAnsi="Times New Roman" w:eastAsia="宋体" w:cs="Times New Roman"/>
      <w:kern w:val="0"/>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2022-08-08T08:59:00Z</dcterms:created>
  <dc:creator>薛尤嘉</dc:creator>
  <cp:lastModifiedBy>艳</cp:lastModifiedBy>
  <dcterms:modified xsi:type="dcterms:W3CDTF">2022-08-11T05:53:43Z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903558030B2A4DA88E60946D228BDF67</vt:lpwstr>
  </property>
</Properties>
</file>