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val="0"/>
          <w:bCs/>
          <w:color w:val="FF0000"/>
          <w:sz w:val="96"/>
          <w:szCs w:val="96"/>
        </w:rPr>
      </w:pPr>
      <w:r>
        <w:rPr>
          <w:rFonts w:hint="eastAsia" w:ascii="宋体" w:hAnsi="宋体" w:cs="宋体"/>
          <w:b w:val="0"/>
          <w:bCs/>
          <w:color w:val="FF0000"/>
          <w:sz w:val="96"/>
          <w:szCs w:val="96"/>
        </w:rPr>
        <w:t>中 国 节 能 协 会</w:t>
      </w:r>
    </w:p>
    <w:p>
      <w:pPr>
        <w:rPr>
          <w:rFonts w:hint="eastAsia" w:ascii="黑体" w:hAnsi="黑体" w:eastAsia="黑体" w:cs="黑体"/>
          <w:color w:val="FF0000"/>
          <w:szCs w:val="21"/>
          <w:u w:val="thick"/>
        </w:rPr>
      </w:pPr>
    </w:p>
    <w:p>
      <w:pPr>
        <w:rPr>
          <w:rFonts w:hint="eastAsia" w:ascii="黑体" w:hAnsi="黑体" w:eastAsia="黑体" w:cs="黑体"/>
          <w:color w:val="FF0000"/>
          <w:szCs w:val="21"/>
          <w:u w:val="thick"/>
        </w:rPr>
      </w:pPr>
      <w:r>
        <w:rPr>
          <w:rFonts w:hint="eastAsia" w:ascii="黑体" w:hAnsi="黑体" w:eastAsia="黑体" w:cs="黑体"/>
          <w:color w:val="FF0000"/>
          <w:szCs w:val="21"/>
          <w:u w:val="thick"/>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0" w:lineRule="atLeast"/>
        <w:jc w:val="center"/>
        <w:rPr>
          <w:rFonts w:hint="eastAsia" w:ascii="新宋体" w:hAnsi="新宋体" w:eastAsia="新宋体" w:cs="新宋体"/>
          <w:b/>
          <w:bCs/>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760" w:lineRule="exact"/>
        <w:ind w:left="0" w:leftChars="0" w:right="0" w:rightChars="0" w:firstLine="0" w:firstLineChars="0"/>
        <w:jc w:val="center"/>
        <w:textAlignment w:val="auto"/>
        <w:outlineLvl w:val="9"/>
        <w:rPr>
          <w:rFonts w:hint="eastAsia" w:ascii="新宋体" w:hAnsi="新宋体" w:eastAsia="新宋体" w:cs="新宋体"/>
          <w:b/>
          <w:bCs/>
          <w:sz w:val="44"/>
          <w:szCs w:val="44"/>
        </w:rPr>
      </w:pPr>
      <w:r>
        <w:rPr>
          <w:rFonts w:hint="eastAsia" w:ascii="新宋体" w:hAnsi="新宋体" w:eastAsia="新宋体" w:cs="新宋体"/>
          <w:b/>
          <w:bCs/>
          <w:kern w:val="0"/>
          <w:sz w:val="44"/>
          <w:szCs w:val="44"/>
          <w:lang w:val="en-US" w:eastAsia="zh-CN" w:bidi="ar"/>
        </w:rPr>
        <w:t>关于举办“十三五”企业能源审计、节能报告编写和评审高级研修班的通知</w:t>
      </w:r>
    </w:p>
    <w:p>
      <w:pPr>
        <w:adjustRightInd w:val="0"/>
        <w:snapToGrid w:val="0"/>
        <w:spacing w:line="510" w:lineRule="exact"/>
        <w:rPr>
          <w:rFonts w:hint="eastAsia" w:ascii="仿宋_GB2312" w:hAnsi="仿宋_GB2312" w:eastAsia="仿宋_GB2312" w:cs="仿宋_GB2312"/>
          <w:sz w:val="32"/>
          <w:szCs w:val="32"/>
        </w:rPr>
      </w:pP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各有关单位:</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为帮助各地方政府相关部门、科研院所及广大企事业单位从业人员切实有效学习项目前期论证及审查理论知识和管理技术，熟练掌握节能报告</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能源审计</w:t>
      </w:r>
      <w:r>
        <w:rPr>
          <w:rFonts w:hint="eastAsia" w:ascii="仿宋_GB2312" w:hAnsi="仿宋_GB2312" w:eastAsia="仿宋_GB2312" w:cs="仿宋_GB2312"/>
          <w:sz w:val="30"/>
          <w:szCs w:val="30"/>
        </w:rPr>
        <w:t>编写、监测验证等一系列主要工作内容、方法、流程。中国节能协会将于2017年</w:t>
      </w:r>
      <w:r>
        <w:rPr>
          <w:rFonts w:hint="eastAsia" w:ascii="仿宋_GB2312" w:hAnsi="仿宋_GB2312" w:eastAsia="仿宋_GB2312" w:cs="仿宋_GB2312"/>
          <w:sz w:val="30"/>
          <w:szCs w:val="30"/>
          <w:lang w:val="en-US" w:eastAsia="zh-CN"/>
        </w:rPr>
        <w:t>12月上旬在海口市</w:t>
      </w:r>
      <w:r>
        <w:rPr>
          <w:rFonts w:hint="eastAsia" w:ascii="仿宋_GB2312" w:hAnsi="仿宋_GB2312" w:eastAsia="仿宋_GB2312" w:cs="仿宋_GB2312"/>
          <w:sz w:val="30"/>
          <w:szCs w:val="30"/>
        </w:rPr>
        <w:t>举办</w:t>
      </w:r>
      <w:r>
        <w:rPr>
          <w:rFonts w:hint="eastAsia" w:ascii="仿宋_GB2312" w:hAnsi="仿宋_GB2312" w:eastAsia="仿宋_GB2312" w:cs="仿宋_GB2312"/>
          <w:sz w:val="30"/>
          <w:szCs w:val="30"/>
          <w:lang w:val="en-US" w:eastAsia="zh-CN"/>
        </w:rPr>
        <w:t>“十三五”企业能源审计、节能报告编写和评审高级研修班</w:t>
      </w:r>
      <w:r>
        <w:rPr>
          <w:rFonts w:hint="eastAsia" w:ascii="仿宋_GB2312" w:hAnsi="仿宋_GB2312" w:eastAsia="仿宋_GB2312" w:cs="仿宋_GB2312"/>
          <w:sz w:val="30"/>
          <w:szCs w:val="30"/>
        </w:rPr>
        <w:t>。现将有关事项通知如下:</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 研修内容及交流议题</w:t>
      </w:r>
    </w:p>
    <w:p>
      <w:pPr>
        <w:adjustRightInd w:val="0"/>
        <w:snapToGrid w:val="0"/>
        <w:spacing w:line="51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 固定资产投资项目节能报告编写评审及</w:t>
      </w:r>
      <w:r>
        <w:rPr>
          <w:rFonts w:hint="eastAsia" w:ascii="仿宋_GB2312" w:hAnsi="仿宋_GB2312" w:eastAsia="仿宋_GB2312" w:cs="仿宋_GB2312"/>
          <w:b/>
          <w:bCs/>
          <w:sz w:val="32"/>
          <w:szCs w:val="32"/>
          <w:lang w:val="en-US" w:eastAsia="zh-CN"/>
        </w:rPr>
        <w:t>审查要求</w:t>
      </w:r>
    </w:p>
    <w:p>
      <w:pPr>
        <w:adjustRightInd w:val="0"/>
        <w:snapToGrid w:val="0"/>
        <w:spacing w:line="51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1.《固定资产投资项目节能审查办法》</w:t>
      </w:r>
      <w:r>
        <w:rPr>
          <w:rFonts w:hint="eastAsia" w:ascii="仿宋_GB2312" w:hAnsi="仿宋_GB2312" w:eastAsia="仿宋_GB2312" w:cs="仿宋_GB2312"/>
          <w:sz w:val="30"/>
          <w:szCs w:val="30"/>
          <w:lang w:val="en-US" w:eastAsia="zh-CN"/>
        </w:rPr>
        <w:t>解读</w:t>
      </w:r>
      <w:r>
        <w:rPr>
          <w:rFonts w:hint="eastAsia" w:ascii="仿宋_GB2312" w:hAnsi="仿宋_GB2312" w:eastAsia="仿宋_GB2312" w:cs="仿宋_GB2312"/>
          <w:sz w:val="30"/>
          <w:szCs w:val="30"/>
        </w:rPr>
        <w:t>;</w:t>
      </w:r>
    </w:p>
    <w:p>
      <w:pPr>
        <w:adjustRightInd w:val="0"/>
        <w:snapToGrid w:val="0"/>
        <w:spacing w:line="510" w:lineRule="exact"/>
        <w:ind w:left="596" w:leftChars="284" w:firstLine="0" w:firstLineChars="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.《企业投资项目核准和备案管理办法》及(〔2017〕</w:t>
      </w:r>
      <w:r>
        <w:rPr>
          <w:rFonts w:hint="eastAsia" w:ascii="仿宋_GB2312" w:hAnsi="仿宋_GB2312" w:eastAsia="仿宋_GB2312" w:cs="仿宋_GB2312"/>
          <w:sz w:val="30"/>
          <w:szCs w:val="30"/>
          <w:lang w:val="en-US" w:eastAsia="zh-CN"/>
        </w:rPr>
        <w:t>第2</w:t>
      </w:r>
      <w:r>
        <w:rPr>
          <w:rFonts w:hint="eastAsia" w:ascii="仿宋_GB2312" w:hAnsi="仿宋_GB2312" w:eastAsia="仿宋_GB2312" w:cs="仿宋_GB2312"/>
          <w:sz w:val="30"/>
          <w:szCs w:val="30"/>
        </w:rPr>
        <w:t>号文件和2017《固定资产投资项目节能评估工作指南》解析;</w:t>
      </w:r>
    </w:p>
    <w:p>
      <w:pPr>
        <w:adjustRightInd w:val="0"/>
        <w:snapToGrid w:val="0"/>
        <w:spacing w:line="510" w:lineRule="exact"/>
        <w:ind w:left="596" w:leftChars="28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2"/>
          <w:szCs w:val="32"/>
        </w:rPr>
        <w:t>企业核准项目申请书的编写、申报和审查</w:t>
      </w:r>
      <w:r>
        <w:rPr>
          <w:rFonts w:hint="eastAsia" w:ascii="仿宋_GB2312" w:hAnsi="仿宋_GB2312" w:eastAsia="仿宋_GB2312" w:cs="仿宋_GB2312"/>
          <w:sz w:val="32"/>
          <w:szCs w:val="32"/>
          <w:lang w:eastAsia="zh-CN"/>
        </w:rPr>
        <w:t>；</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.节能审查的程序要求和常见问题;</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.节能报告编制要求解析;</w:t>
      </w:r>
    </w:p>
    <w:p>
      <w:pPr>
        <w:numPr>
          <w:ilvl w:val="0"/>
          <w:numId w:val="0"/>
        </w:numPr>
        <w:adjustRightInd w:val="0"/>
        <w:snapToGrid w:val="0"/>
        <w:spacing w:line="510" w:lineRule="exact"/>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能评事中事后监管体系及要求</w:t>
      </w:r>
      <w:r>
        <w:rPr>
          <w:rFonts w:hint="eastAsia" w:ascii="仿宋_GB2312" w:hAnsi="仿宋_GB2312" w:eastAsia="仿宋_GB2312" w:cs="仿宋_GB2312"/>
          <w:sz w:val="30"/>
          <w:szCs w:val="30"/>
          <w:lang w:eastAsia="zh-CN"/>
        </w:rPr>
        <w:t>。</w:t>
      </w:r>
    </w:p>
    <w:p>
      <w:pPr>
        <w:numPr>
          <w:ilvl w:val="0"/>
          <w:numId w:val="0"/>
        </w:numPr>
        <w:adjustRightInd w:val="0"/>
        <w:snapToGrid w:val="0"/>
        <w:spacing w:line="510" w:lineRule="exact"/>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节能评估报告、能源审计报告</w:t>
      </w:r>
    </w:p>
    <w:p>
      <w:pPr>
        <w:numPr>
          <w:ilvl w:val="0"/>
          <w:numId w:val="0"/>
        </w:numPr>
        <w:adjustRightInd w:val="0"/>
        <w:snapToGrid w:val="0"/>
        <w:spacing w:line="51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1.节能评估和审查的主要内容和方法；</w:t>
      </w:r>
    </w:p>
    <w:p>
      <w:pPr>
        <w:numPr>
          <w:ilvl w:val="0"/>
          <w:numId w:val="0"/>
        </w:numPr>
        <w:adjustRightInd w:val="0"/>
        <w:snapToGrid w:val="0"/>
        <w:spacing w:line="51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2.编写节能评估报告如何对可行性研究报告进行研判（1、确定难易程度；2、确定价格多少）；</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3.可研报告中节能分析篇重点内容及要求；</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4.节能评估报告编写过程中如何对标分析；</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5.企业能源审计的原理、标准和方法；</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6.能源审计程序、过程要点、节能方案产生和筛选；</w:t>
      </w:r>
    </w:p>
    <w:p>
      <w:pPr>
        <w:numPr>
          <w:ilvl w:val="0"/>
          <w:numId w:val="0"/>
        </w:numPr>
        <w:adjustRightInd w:val="0"/>
        <w:snapToGrid w:val="0"/>
        <w:spacing w:line="510" w:lineRule="exact"/>
        <w:ind w:left="638" w:leftChars="304" w:firstLine="0" w:firstLineChars="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7.能源审计可行性要点、方案实施、持续能源审计、审计报告编写；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50" w:lineRule="atLeast"/>
        <w:ind w:right="0" w:firstLine="600" w:firstLineChars="200"/>
        <w:rPr>
          <w:rFonts w:hint="eastAsia" w:ascii="仿宋_GB2312" w:hAnsi="仿宋_GB2312" w:eastAsia="仿宋_GB2312" w:cs="仿宋_GB2312"/>
          <w:b w:val="0"/>
          <w:kern w:val="2"/>
          <w:sz w:val="30"/>
          <w:szCs w:val="30"/>
          <w:lang w:val="en-US" w:eastAsia="zh-CN" w:bidi="ar-SA"/>
        </w:rPr>
      </w:pPr>
      <w:r>
        <w:rPr>
          <w:rFonts w:hint="eastAsia" w:ascii="仿宋_GB2312" w:hAnsi="仿宋_GB2312" w:eastAsia="仿宋_GB2312" w:cs="仿宋_GB2312"/>
          <w:b w:val="0"/>
          <w:kern w:val="2"/>
          <w:sz w:val="30"/>
          <w:szCs w:val="30"/>
          <w:lang w:val="en-US" w:eastAsia="zh-CN" w:bidi="ar-SA"/>
        </w:rPr>
        <w:t>8.工程咨询机构如何开展节能评估工作。</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 实战案例解析</w:t>
      </w:r>
      <w:bookmarkStart w:id="0" w:name="_GoBack"/>
      <w:bookmarkEnd w:id="0"/>
    </w:p>
    <w:p>
      <w:pPr>
        <w:adjustRightInd w:val="0"/>
        <w:snapToGrid w:val="0"/>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钢铁、建筑、水泥、石油化工、电力、交通、水利、农业、环保、煤炭等行业案例,分析、讲解报告编写的格式、内容和核心要点。</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二、师资安排</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拟邀国家发展和改革委员会、国家节能中心、中国国际工程咨询公司、国金源工程咨询(北京)有限公司等部门专家及相关文件起草人员亲临授课并进行现场研讨。</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三、参加人员</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各地政府相关部门主管人员;各节能环保、钢铁、建筑、水泥、石油化工、电力、交通、水利、农业、机关事务管理局、城建、科技等相关人员及部门负责人;各规划设计、科研院所、</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行业协(学)会等单位的负责人及相关人员;各企事业单位、“万家企业”、节能中心、节能服务公司、环境影响评价、安全评价、清洁生产、工程咨询机构、管理咨询、重点耗能企业、大专院校专业人员、 高新技术企业等相关人员及部门技术工程人员。 </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四、时间及地点</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 xml:space="preserve"> 20l7年1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日一</w:t>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rPr>
        <w:t>日  (</w:t>
      </w: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 xml:space="preserve">日报到)   </w:t>
      </w:r>
      <w:r>
        <w:rPr>
          <w:rFonts w:hint="eastAsia" w:ascii="仿宋_GB2312" w:hAnsi="仿宋_GB2312" w:eastAsia="仿宋_GB2312" w:cs="仿宋_GB2312"/>
          <w:sz w:val="30"/>
          <w:szCs w:val="30"/>
          <w:lang w:val="en-US" w:eastAsia="zh-CN"/>
        </w:rPr>
        <w:t>海口</w:t>
      </w:r>
      <w:r>
        <w:rPr>
          <w:rFonts w:hint="eastAsia" w:ascii="仿宋_GB2312" w:hAnsi="仿宋_GB2312" w:eastAsia="仿宋_GB2312" w:cs="仿宋_GB2312"/>
          <w:sz w:val="30"/>
          <w:szCs w:val="30"/>
        </w:rPr>
        <w:t>市</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五、学习方式及证书颁发</w:t>
      </w:r>
    </w:p>
    <w:p>
      <w:pPr>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专家授课、现场演示、互动交流等方式。此次研修班课程安排求真务实,直击企业需求。理论与实战经验相结合,并提供最新讲课和参考资料。</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研修结业, 统一颁发中国节能协会</w:t>
      </w:r>
      <w:r>
        <w:rPr>
          <w:rFonts w:hint="eastAsia" w:ascii="仿宋_GB2312" w:hAnsi="仿宋_GB2312" w:eastAsia="仿宋_GB2312" w:cs="仿宋_GB2312"/>
          <w:sz w:val="30"/>
          <w:szCs w:val="30"/>
          <w:lang w:val="en-US" w:eastAsia="zh-CN"/>
        </w:rPr>
        <w:t>“十三五”企业能源审计、节能报告编写和评审高级研修班</w:t>
      </w:r>
      <w:r>
        <w:rPr>
          <w:rFonts w:hint="eastAsia" w:ascii="仿宋_GB2312" w:hAnsi="仿宋_GB2312" w:eastAsia="仿宋_GB2312" w:cs="仿宋_GB2312"/>
          <w:sz w:val="30"/>
          <w:szCs w:val="30"/>
        </w:rPr>
        <w:t>结业证书。</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六、研修费用</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研修费3200元/人(含授课费、讲义费、场地费、文具费、证书制作及授课期间午餐等)。食宿统一安排, 费用自理。</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七、联系方式</w:t>
      </w:r>
    </w:p>
    <w:p>
      <w:pPr>
        <w:adjustRightInd w:val="0"/>
        <w:snapToGrid w:val="0"/>
        <w:spacing w:line="51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联系人: 李老师  13121112713  </w:t>
      </w:r>
    </w:p>
    <w:p>
      <w:pPr>
        <w:adjustRightInd w:val="0"/>
        <w:snapToGrid w:val="0"/>
        <w:spacing w:line="510" w:lineRule="exact"/>
        <w:ind w:firstLine="64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电话(兼传真): 010-51945658 </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 xml:space="preserve">邮箱: </w:t>
      </w:r>
      <w:r>
        <w:rPr>
          <w:rFonts w:hint="eastAsia" w:ascii="仿宋_GB2312" w:hAnsi="仿宋_GB2312" w:eastAsia="仿宋_GB2312" w:cs="仿宋_GB2312"/>
          <w:sz w:val="30"/>
          <w:szCs w:val="30"/>
          <w:lang w:val="en-US" w:eastAsia="zh-CN"/>
        </w:rPr>
        <w:t>253438983</w:t>
      </w:r>
      <w:r>
        <w:rPr>
          <w:rFonts w:hint="eastAsia" w:ascii="仿宋_GB2312" w:hAnsi="仿宋_GB2312" w:eastAsia="仿宋_GB2312" w:cs="仿宋_GB2312"/>
          <w:sz w:val="30"/>
          <w:szCs w:val="30"/>
        </w:rPr>
        <w:t>@qq.com</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协会秘书处联系人:李宇涛  010-64525339</w:t>
      </w:r>
    </w:p>
    <w:p>
      <w:pPr>
        <w:adjustRightInd w:val="0"/>
        <w:snapToGrid w:val="0"/>
        <w:spacing w:line="51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八、咨询服务</w:t>
      </w:r>
    </w:p>
    <w:p>
      <w:pPr>
        <w:adjustRightInd w:val="0"/>
        <w:snapToGrid w:val="0"/>
        <w:spacing w:line="510" w:lineRule="exact"/>
        <w:rPr>
          <w:rFonts w:hint="eastAsia" w:ascii="仿宋_GB2312" w:hAnsi="仿宋_GB2312" w:eastAsia="仿宋_GB2312" w:cs="仿宋_GB2312"/>
          <w:sz w:val="30"/>
          <w:szCs w:val="30"/>
        </w:rPr>
      </w:pPr>
      <w:r>
        <w:rPr>
          <w:rFonts w:hint="eastAsia" w:ascii="仿宋_GB2312" w:hAnsi="仿宋_GB2312" w:eastAsia="仿宋_GB2312" w:cs="仿宋_GB2312"/>
          <w:sz w:val="32"/>
          <w:szCs w:val="32"/>
          <w:lang w:val="en-US" w:eastAsia="zh-CN"/>
        </w:rPr>
        <w:drawing>
          <wp:anchor distT="0" distB="0" distL="114300" distR="114300" simplePos="0" relativeHeight="251658240" behindDoc="1" locked="0" layoutInCell="1" allowOverlap="1">
            <wp:simplePos x="0" y="0"/>
            <wp:positionH relativeFrom="column">
              <wp:posOffset>2816225</wp:posOffset>
            </wp:positionH>
            <wp:positionV relativeFrom="paragraph">
              <wp:posOffset>1611630</wp:posOffset>
            </wp:positionV>
            <wp:extent cx="2195830" cy="1999615"/>
            <wp:effectExtent l="294640" t="338455" r="309880" b="347980"/>
            <wp:wrapNone/>
            <wp:docPr id="1" name="图片 1" descr="节能协会图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节能协会图章"/>
                    <pic:cNvPicPr>
                      <a:picLocks noChangeAspect="1"/>
                    </pic:cNvPicPr>
                  </pic:nvPicPr>
                  <pic:blipFill>
                    <a:blip r:embed="rId4"/>
                    <a:stretch>
                      <a:fillRect/>
                    </a:stretch>
                  </pic:blipFill>
                  <pic:spPr>
                    <a:xfrm rot="1320000">
                      <a:off x="0" y="0"/>
                      <a:ext cx="2195830" cy="1999615"/>
                    </a:xfrm>
                    <a:prstGeom prst="rect">
                      <a:avLst/>
                    </a:prstGeom>
                  </pic:spPr>
                </pic:pic>
              </a:graphicData>
            </a:graphic>
          </wp:anchor>
        </w:draw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0"/>
          <w:szCs w:val="30"/>
        </w:rPr>
        <w:t>专业团队:由国家发展和改革委员会、国家节能中心、中国节能协会、清华大学、中国国际工程咨询公司、国金源工程咨询(北京)有限公司等国内最权威、最专业的项目报告编写实战专家团队共同为企业提供最具体的咨询和服务并可赴地方内训及指导工作。</w:t>
      </w:r>
      <w:r>
        <w:rPr>
          <w:rFonts w:hint="eastAsia" w:ascii="仿宋_GB2312" w:hAnsi="仿宋_GB2312" w:eastAsia="仿宋_GB2312" w:cs="仿宋_GB2312"/>
          <w:sz w:val="30"/>
          <w:szCs w:val="30"/>
          <w:lang w:val="en-US" w:eastAsia="zh-CN"/>
        </w:rPr>
        <w:t xml:space="preserve">                                       </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w:t>
      </w:r>
    </w:p>
    <w:p>
      <w:pPr>
        <w:ind w:firstLine="640"/>
        <w:rPr>
          <w:rFonts w:hint="eastAsia" w:ascii="仿宋_GB2312" w:hAnsi="仿宋_GB2312" w:eastAsia="仿宋_GB2312" w:cs="仿宋_GB2312"/>
          <w:sz w:val="32"/>
          <w:szCs w:val="32"/>
          <w:lang w:val="en-US" w:eastAsia="zh-CN"/>
        </w:rPr>
      </w:pPr>
    </w:p>
    <w:p>
      <w:pPr>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rPr>
        <w:t>中国节能协会</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2017年10月30日</w:t>
      </w:r>
    </w:p>
    <w:p>
      <w:pPr>
        <w:keepNext w:val="0"/>
        <w:keepLines w:val="0"/>
        <w:widowControl/>
        <w:suppressLineNumbers w:val="0"/>
        <w:jc w:val="left"/>
      </w:pPr>
      <w:r>
        <w:rPr>
          <w:rFonts w:hint="eastAsia" w:ascii="仿宋_GB2312" w:hAnsi="仿宋_GB2312" w:eastAsia="仿宋_GB2312" w:cs="仿宋_GB2312"/>
          <w:sz w:val="32"/>
          <w:szCs w:val="32"/>
          <w:lang w:val="en-US" w:eastAsia="zh-CN"/>
        </w:rPr>
        <w:t xml:space="preserve">                                 </w:t>
      </w:r>
    </w:p>
    <w:p>
      <w:pPr>
        <w:spacing w:line="500" w:lineRule="exact"/>
        <w:rPr>
          <w:rFonts w:hint="eastAsia" w:ascii="新宋体" w:hAnsi="新宋体" w:eastAsia="新宋体"/>
          <w:b/>
          <w:spacing w:val="4"/>
          <w:sz w:val="28"/>
        </w:rPr>
      </w:pPr>
      <w:r>
        <w:rPr>
          <w:rFonts w:hint="eastAsia" w:ascii="新宋体" w:hAnsi="新宋体" w:eastAsia="新宋体"/>
          <w:b/>
          <w:spacing w:val="4"/>
          <w:sz w:val="28"/>
        </w:rPr>
        <w:t>附件：</w:t>
      </w:r>
    </w:p>
    <w:p>
      <w:pPr>
        <w:pStyle w:val="5"/>
        <w:keepNext w:val="0"/>
        <w:keepLines w:val="0"/>
        <w:pageBreakBefore w:val="0"/>
        <w:widowControl/>
        <w:kinsoku/>
        <w:wordWrap/>
        <w:overflowPunct/>
        <w:topLinePunct w:val="0"/>
        <w:autoSpaceDE/>
        <w:autoSpaceDN/>
        <w:bidi w:val="0"/>
        <w:adjustRightInd/>
        <w:snapToGrid/>
        <w:spacing w:before="100" w:beforeLines="0" w:beforeAutospacing="0" w:after="100" w:afterLines="0" w:afterAutospacing="0" w:line="560" w:lineRule="exact"/>
        <w:ind w:left="0" w:leftChars="0" w:right="0" w:rightChars="0" w:firstLine="0" w:firstLineChars="0"/>
        <w:jc w:val="center"/>
        <w:textAlignment w:val="baseline"/>
        <w:outlineLvl w:val="9"/>
        <w:rPr>
          <w:rFonts w:hint="eastAsia"/>
          <w:b/>
          <w:color w:val="000000"/>
          <w:spacing w:val="-10"/>
          <w:sz w:val="36"/>
          <w:szCs w:val="36"/>
        </w:rPr>
      </w:pPr>
      <w:r>
        <w:rPr>
          <w:rFonts w:hint="eastAsia" w:ascii="ˎ̥" w:hAnsi="ˎ̥"/>
          <w:b/>
          <w:bCs/>
          <w:color w:val="000000"/>
          <w:sz w:val="36"/>
          <w:szCs w:val="36"/>
          <w:lang w:val="en-US" w:eastAsia="zh-CN"/>
        </w:rPr>
        <w:t xml:space="preserve">  “十三五”企业能源审计、节能报告编写和评审高级研修班</w:t>
      </w:r>
      <w:r>
        <w:rPr>
          <w:rFonts w:hint="eastAsia"/>
          <w:b/>
          <w:color w:val="000000"/>
          <w:spacing w:val="-10"/>
          <w:sz w:val="36"/>
          <w:szCs w:val="36"/>
        </w:rPr>
        <w:t>报名表</w:t>
      </w:r>
    </w:p>
    <w:p>
      <w:pPr>
        <w:pStyle w:val="5"/>
        <w:spacing w:beforeAutospacing="0" w:afterAutospacing="0" w:line="360" w:lineRule="exact"/>
        <w:jc w:val="both"/>
        <w:textAlignment w:val="baseline"/>
        <w:rPr>
          <w:rFonts w:hint="eastAsia" w:ascii="仿宋_GB2312" w:hAnsi="仿宋_GB2312" w:eastAsia="仿宋_GB2312" w:cs="仿宋_GB2312"/>
          <w:b/>
          <w:color w:val="000000"/>
          <w:spacing w:val="-10"/>
          <w:sz w:val="32"/>
          <w:szCs w:val="32"/>
        </w:rPr>
      </w:pPr>
      <w:r>
        <w:rPr>
          <w:rFonts w:hint="eastAsia" w:ascii="仿宋_GB2312" w:hAnsi="仿宋_GB2312" w:eastAsia="仿宋_GB2312" w:cs="仿宋_GB2312"/>
          <w:sz w:val="32"/>
          <w:szCs w:val="32"/>
        </w:rPr>
        <w:t xml:space="preserve">       </w:t>
      </w:r>
    </w:p>
    <w:tbl>
      <w:tblPr>
        <w:tblStyle w:val="4"/>
        <w:tblW w:w="9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45"/>
        <w:gridCol w:w="855"/>
        <w:gridCol w:w="1619"/>
        <w:gridCol w:w="976"/>
        <w:gridCol w:w="435"/>
        <w:gridCol w:w="834"/>
        <w:gridCol w:w="1045"/>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4719" w:type="dxa"/>
            <w:gridSpan w:val="5"/>
            <w:vAlign w:val="top"/>
          </w:tcPr>
          <w:p>
            <w:pPr>
              <w:spacing w:line="510" w:lineRule="exact"/>
              <w:rPr>
                <w:rFonts w:hint="eastAsia" w:ascii="仿宋_GB2312" w:hAnsi="仿宋_GB2312" w:eastAsia="仿宋_GB2312" w:cs="仿宋_GB2312"/>
                <w:sz w:val="32"/>
                <w:szCs w:val="32"/>
              </w:rPr>
            </w:pPr>
          </w:p>
        </w:tc>
        <w:tc>
          <w:tcPr>
            <w:tcW w:w="1045" w:type="dxa"/>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编</w:t>
            </w:r>
          </w:p>
        </w:tc>
        <w:tc>
          <w:tcPr>
            <w:tcW w:w="2322" w:type="dxa"/>
            <w:vAlign w:val="top"/>
          </w:tcPr>
          <w:p>
            <w:pPr>
              <w:spacing w:line="51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通讯地址</w:t>
            </w:r>
          </w:p>
        </w:tc>
        <w:tc>
          <w:tcPr>
            <w:tcW w:w="4719" w:type="dxa"/>
            <w:gridSpan w:val="5"/>
            <w:vAlign w:val="top"/>
          </w:tcPr>
          <w:p>
            <w:pPr>
              <w:spacing w:line="510" w:lineRule="exact"/>
              <w:rPr>
                <w:rFonts w:hint="eastAsia" w:ascii="仿宋_GB2312" w:hAnsi="仿宋_GB2312" w:eastAsia="仿宋_GB2312" w:cs="仿宋_GB2312"/>
                <w:sz w:val="32"/>
                <w:szCs w:val="32"/>
              </w:rPr>
            </w:pPr>
          </w:p>
        </w:tc>
        <w:tc>
          <w:tcPr>
            <w:tcW w:w="1045"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箱</w:t>
            </w: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637"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w:t>
            </w:r>
          </w:p>
        </w:tc>
        <w:tc>
          <w:tcPr>
            <w:tcW w:w="3450" w:type="dxa"/>
            <w:gridSpan w:val="3"/>
            <w:vAlign w:val="top"/>
          </w:tcPr>
          <w:p>
            <w:pPr>
              <w:spacing w:line="510" w:lineRule="exact"/>
              <w:rPr>
                <w:rFonts w:hint="eastAsia" w:ascii="仿宋_GB2312" w:hAnsi="仿宋_GB2312" w:eastAsia="仿宋_GB2312" w:cs="仿宋_GB2312"/>
                <w:sz w:val="32"/>
                <w:szCs w:val="32"/>
              </w:rPr>
            </w:pPr>
          </w:p>
        </w:tc>
        <w:tc>
          <w:tcPr>
            <w:tcW w:w="1269" w:type="dxa"/>
            <w:gridSpan w:val="2"/>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 机</w:t>
            </w:r>
          </w:p>
        </w:tc>
        <w:tc>
          <w:tcPr>
            <w:tcW w:w="3367" w:type="dxa"/>
            <w:gridSpan w:val="2"/>
            <w:vAlign w:val="top"/>
          </w:tcPr>
          <w:p>
            <w:pPr>
              <w:spacing w:line="510" w:lineRule="exac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723" w:type="dxa"/>
            <w:gridSpan w:val="9"/>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参加培训人员名单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   名</w:t>
            </w:r>
          </w:p>
        </w:tc>
        <w:tc>
          <w:tcPr>
            <w:tcW w:w="1000"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619"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w:t>
            </w:r>
          </w:p>
        </w:tc>
        <w:tc>
          <w:tcPr>
            <w:tcW w:w="1411"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职务</w:t>
            </w:r>
          </w:p>
        </w:tc>
        <w:tc>
          <w:tcPr>
            <w:tcW w:w="1879" w:type="dxa"/>
            <w:gridSpan w:val="2"/>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手机</w:t>
            </w:r>
          </w:p>
        </w:tc>
        <w:tc>
          <w:tcPr>
            <w:tcW w:w="2322" w:type="dxa"/>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492" w:type="dxa"/>
            <w:vAlign w:val="top"/>
          </w:tcPr>
          <w:p>
            <w:pPr>
              <w:spacing w:line="510" w:lineRule="exact"/>
              <w:rPr>
                <w:rFonts w:hint="eastAsia" w:ascii="仿宋_GB2312" w:hAnsi="仿宋_GB2312" w:eastAsia="仿宋_GB2312" w:cs="仿宋_GB2312"/>
                <w:sz w:val="32"/>
                <w:szCs w:val="32"/>
              </w:rPr>
            </w:pPr>
          </w:p>
        </w:tc>
        <w:tc>
          <w:tcPr>
            <w:tcW w:w="1000" w:type="dxa"/>
            <w:gridSpan w:val="2"/>
            <w:vAlign w:val="top"/>
          </w:tcPr>
          <w:p>
            <w:pPr>
              <w:spacing w:line="510" w:lineRule="exact"/>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rPr>
                <w:rFonts w:hint="eastAsia" w:ascii="仿宋_GB2312" w:hAnsi="仿宋_GB2312" w:eastAsia="仿宋_GB2312" w:cs="仿宋_GB2312"/>
                <w:sz w:val="32"/>
                <w:szCs w:val="32"/>
              </w:rPr>
            </w:pPr>
          </w:p>
        </w:tc>
        <w:tc>
          <w:tcPr>
            <w:tcW w:w="1879" w:type="dxa"/>
            <w:gridSpan w:val="2"/>
            <w:vAlign w:val="top"/>
          </w:tcPr>
          <w:p>
            <w:pPr>
              <w:spacing w:line="510" w:lineRule="exact"/>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jc w:val="center"/>
        </w:trPr>
        <w:tc>
          <w:tcPr>
            <w:tcW w:w="1492" w:type="dxa"/>
            <w:vAlign w:val="top"/>
          </w:tcPr>
          <w:p>
            <w:pPr>
              <w:spacing w:line="510" w:lineRule="exact"/>
              <w:jc w:val="center"/>
              <w:rPr>
                <w:rFonts w:hint="eastAsia" w:ascii="仿宋_GB2312" w:hAnsi="仿宋_GB2312" w:eastAsia="仿宋_GB2312" w:cs="仿宋_GB2312"/>
                <w:sz w:val="32"/>
                <w:szCs w:val="32"/>
              </w:rPr>
            </w:pPr>
          </w:p>
        </w:tc>
        <w:tc>
          <w:tcPr>
            <w:tcW w:w="1000" w:type="dxa"/>
            <w:gridSpan w:val="2"/>
            <w:vAlign w:val="top"/>
          </w:tcPr>
          <w:p>
            <w:pPr>
              <w:spacing w:line="510" w:lineRule="exact"/>
              <w:jc w:val="center"/>
              <w:rPr>
                <w:rFonts w:hint="eastAsia" w:ascii="仿宋_GB2312" w:hAnsi="仿宋_GB2312" w:eastAsia="仿宋_GB2312" w:cs="仿宋_GB2312"/>
                <w:sz w:val="32"/>
                <w:szCs w:val="32"/>
              </w:rPr>
            </w:pPr>
          </w:p>
        </w:tc>
        <w:tc>
          <w:tcPr>
            <w:tcW w:w="1619" w:type="dxa"/>
            <w:vAlign w:val="top"/>
          </w:tcPr>
          <w:p>
            <w:pPr>
              <w:spacing w:line="510" w:lineRule="exact"/>
              <w:jc w:val="center"/>
              <w:rPr>
                <w:rFonts w:hint="eastAsia" w:ascii="仿宋_GB2312" w:hAnsi="仿宋_GB2312" w:eastAsia="仿宋_GB2312" w:cs="仿宋_GB2312"/>
                <w:sz w:val="32"/>
                <w:szCs w:val="32"/>
              </w:rPr>
            </w:pPr>
          </w:p>
        </w:tc>
        <w:tc>
          <w:tcPr>
            <w:tcW w:w="1411" w:type="dxa"/>
            <w:gridSpan w:val="2"/>
            <w:vAlign w:val="top"/>
          </w:tcPr>
          <w:p>
            <w:pPr>
              <w:spacing w:line="510" w:lineRule="exact"/>
              <w:jc w:val="center"/>
              <w:rPr>
                <w:rFonts w:hint="eastAsia" w:ascii="仿宋_GB2312" w:hAnsi="仿宋_GB2312" w:eastAsia="仿宋_GB2312" w:cs="仿宋_GB2312"/>
                <w:sz w:val="32"/>
                <w:szCs w:val="32"/>
              </w:rPr>
            </w:pPr>
          </w:p>
        </w:tc>
        <w:tc>
          <w:tcPr>
            <w:tcW w:w="1879" w:type="dxa"/>
            <w:gridSpan w:val="2"/>
            <w:vAlign w:val="top"/>
          </w:tcPr>
          <w:p>
            <w:pPr>
              <w:spacing w:line="510" w:lineRule="exact"/>
              <w:jc w:val="center"/>
              <w:rPr>
                <w:rFonts w:hint="eastAsia" w:ascii="仿宋_GB2312" w:hAnsi="仿宋_GB2312" w:eastAsia="仿宋_GB2312" w:cs="仿宋_GB2312"/>
                <w:sz w:val="32"/>
                <w:szCs w:val="32"/>
              </w:rPr>
            </w:pPr>
          </w:p>
        </w:tc>
        <w:tc>
          <w:tcPr>
            <w:tcW w:w="2322" w:type="dxa"/>
            <w:vAlign w:val="top"/>
          </w:tcPr>
          <w:p>
            <w:pPr>
              <w:spacing w:line="510" w:lineRule="exact"/>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住宿预订</w:t>
            </w:r>
          </w:p>
        </w:tc>
        <w:tc>
          <w:tcPr>
            <w:tcW w:w="7231" w:type="dxa"/>
            <w:gridSpan w:val="6"/>
            <w:vAlign w:val="top"/>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xml:space="preserve">□单住   </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sz w:val="32"/>
                <w:szCs w:val="32"/>
              </w:rPr>
              <w:t xml:space="preserve">  □合住</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拟住日期：2017年   月   日至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5"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指定收款账户</w:t>
            </w:r>
          </w:p>
        </w:tc>
        <w:tc>
          <w:tcPr>
            <w:tcW w:w="7231" w:type="dxa"/>
            <w:gridSpan w:val="6"/>
            <w:vAlign w:val="top"/>
          </w:tcPr>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  名：北京中和国宏嘉业技术培训中心</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开户行：工行北京北辛安支行</w:t>
            </w:r>
          </w:p>
          <w:p>
            <w:pPr>
              <w:spacing w:line="51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号：0200 0058 0920 0064 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2492" w:type="dxa"/>
            <w:gridSpan w:val="3"/>
            <w:vAlign w:val="center"/>
          </w:tcPr>
          <w:p>
            <w:pPr>
              <w:spacing w:line="51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3864" w:type="dxa"/>
            <w:gridSpan w:val="4"/>
            <w:vAlign w:val="center"/>
          </w:tcPr>
          <w:p>
            <w:pPr>
              <w:spacing w:line="400" w:lineRule="exact"/>
              <w:ind w:right="560" w:firstLine="3040" w:firstLineChars="950"/>
              <w:rPr>
                <w:rFonts w:hint="eastAsia" w:ascii="仿宋_GB2312" w:hAnsi="仿宋_GB2312" w:eastAsia="仿宋_GB2312" w:cs="仿宋_GB2312"/>
                <w:sz w:val="32"/>
                <w:szCs w:val="32"/>
              </w:rPr>
            </w:pPr>
          </w:p>
        </w:tc>
        <w:tc>
          <w:tcPr>
            <w:tcW w:w="3367" w:type="dxa"/>
            <w:gridSpan w:val="2"/>
            <w:vAlign w:val="center"/>
          </w:tcPr>
          <w:p>
            <w:pPr>
              <w:spacing w:line="400" w:lineRule="exact"/>
              <w:ind w:righ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单位印章</w:t>
            </w:r>
          </w:p>
          <w:p>
            <w:pPr>
              <w:spacing w:line="400" w:lineRule="exact"/>
              <w:ind w:right="56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tc>
      </w:tr>
    </w:tbl>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备注：请认真逐项填写此表，复印有效。</w:t>
      </w:r>
    </w:p>
    <w:p>
      <w:pPr>
        <w:spacing w:line="400" w:lineRule="exac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联系人：</w:t>
      </w:r>
      <w:r>
        <w:rPr>
          <w:rFonts w:hint="eastAsia" w:ascii="仿宋_GB2312" w:hAnsi="仿宋_GB2312" w:eastAsia="仿宋_GB2312" w:cs="仿宋_GB2312"/>
          <w:b/>
          <w:bCs/>
          <w:sz w:val="32"/>
          <w:szCs w:val="32"/>
          <w:lang w:val="en-US" w:eastAsia="zh-CN"/>
        </w:rPr>
        <w:t>程 程</w:t>
      </w:r>
      <w:r>
        <w:rPr>
          <w:rFonts w:hint="eastAsia" w:ascii="仿宋_GB2312" w:hAnsi="仿宋_GB2312" w:eastAsia="仿宋_GB2312" w:cs="仿宋_GB2312"/>
          <w:b/>
          <w:bCs/>
          <w:sz w:val="32"/>
          <w:szCs w:val="32"/>
        </w:rPr>
        <w:t xml:space="preserve"> 13121112713    </w:t>
      </w:r>
      <w:r>
        <w:rPr>
          <w:rStyle w:val="6"/>
          <w:rFonts w:hint="eastAsia" w:ascii="仿宋_GB2312" w:hAnsi="仿宋_GB2312" w:eastAsia="仿宋_GB2312" w:cs="仿宋_GB2312"/>
          <w:b/>
          <w:bCs/>
          <w:color w:val="000000"/>
          <w:spacing w:val="4"/>
          <w:sz w:val="32"/>
          <w:szCs w:val="32"/>
        </w:rPr>
        <w:t>邮 箱</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253438983</w:t>
      </w:r>
      <w:r>
        <w:rPr>
          <w:rFonts w:hint="eastAsia" w:ascii="仿宋_GB2312" w:hAnsi="仿宋_GB2312" w:eastAsia="仿宋_GB2312" w:cs="仿宋_GB2312"/>
          <w:b/>
          <w:bCs/>
          <w:sz w:val="32"/>
          <w:szCs w:val="32"/>
        </w:rPr>
        <w:t>@qq.com</w:t>
      </w:r>
    </w:p>
    <w:p>
      <w:pPr>
        <w:spacing w:line="400" w:lineRule="exac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电  话：</w:t>
      </w:r>
      <w:r>
        <w:rPr>
          <w:rStyle w:val="6"/>
          <w:rFonts w:hint="eastAsia" w:ascii="仿宋_GB2312" w:hAnsi="仿宋_GB2312" w:eastAsia="仿宋_GB2312" w:cs="仿宋_GB2312"/>
          <w:b/>
          <w:bCs/>
          <w:color w:val="000000"/>
          <w:spacing w:val="4"/>
          <w:sz w:val="32"/>
          <w:szCs w:val="32"/>
        </w:rPr>
        <w:t>010-51945658        传 真：010-51945658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CF3C50"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小米兰亭">
    <w:panose1 w:val="03000502000000000000"/>
    <w:charset w:val="86"/>
    <w:family w:val="auto"/>
    <w:pitch w:val="default"/>
    <w:sig w:usb0="E00002FF" w:usb1="78CF7CFB" w:usb2="00000036" w:usb3="00000000" w:csb0="00040000"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行楷简">
    <w:panose1 w:val="02010609000101010101"/>
    <w:charset w:val="86"/>
    <w:family w:val="auto"/>
    <w:pitch w:val="default"/>
    <w:sig w:usb0="00000001" w:usb1="080E0800" w:usb2="00000002"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JhengHei">
    <w:panose1 w:val="020B0604030504040204"/>
    <w:charset w:val="88"/>
    <w:family w:val="auto"/>
    <w:pitch w:val="default"/>
    <w:sig w:usb0="0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Microsoft JhengHei UI Light">
    <w:panose1 w:val="020B0304030504040204"/>
    <w:charset w:val="88"/>
    <w:family w:val="auto"/>
    <w:pitch w:val="default"/>
    <w:sig w:usb0="800002A7" w:usb1="28CF4400" w:usb2="00000016" w:usb3="00000000" w:csb0="00100009" w:csb1="00000000"/>
  </w:font>
  <w:font w:name="Microsoft YaHei UI Light">
    <w:panose1 w:val="020B0502040204020203"/>
    <w:charset w:val="86"/>
    <w:family w:val="auto"/>
    <w:pitch w:val="default"/>
    <w:sig w:usb0="80000287" w:usb1="28CF0010" w:usb2="00000016" w:usb3="00000000" w:csb0="0004001F" w:csb1="00000000"/>
  </w:font>
  <w:font w:name="MingLiU-ExtB">
    <w:panose1 w:val="02020500000000000000"/>
    <w:charset w:val="88"/>
    <w:family w:val="auto"/>
    <w:pitch w:val="default"/>
    <w:sig w:usb0="8000002F" w:usb1="02000008" w:usb2="00000000" w:usb3="00000000" w:csb0="00100001" w:csb1="00000000"/>
  </w:font>
  <w:font w:name="MingLiU_HKSCS-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8000012" w:usb3="00000000" w:csb0="4002009F" w:csb1="DFD70000"/>
  </w:font>
  <w:font w:name="MS PGothic">
    <w:panose1 w:val="020B0600070205080204"/>
    <w:charset w:val="80"/>
    <w:family w:val="auto"/>
    <w:pitch w:val="default"/>
    <w:sig w:usb0="E00002FF" w:usb1="6AC7FDFB" w:usb2="08000012" w:usb3="00000000" w:csb0="4002009F" w:csb1="DFD70000"/>
  </w:font>
  <w:font w:name="MS UI Gothic">
    <w:panose1 w:val="020B0600070205080204"/>
    <w:charset w:val="80"/>
    <w:family w:val="auto"/>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imSun-ExtB">
    <w:panose1 w:val="02010609060101010101"/>
    <w:charset w:val="86"/>
    <w:family w:val="auto"/>
    <w:pitch w:val="default"/>
    <w:sig w:usb0="00000001" w:usb1="02000000" w:usb2="00000000"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Yu Gothic UI Semibold">
    <w:panose1 w:val="020B0700000000000000"/>
    <w:charset w:val="80"/>
    <w:family w:val="auto"/>
    <w:pitch w:val="default"/>
    <w:sig w:usb0="E00002FF" w:usb1="2AC7FDFF" w:usb2="00000016" w:usb3="00000000" w:csb0="2002009F" w:csb1="00000000"/>
  </w:font>
  <w:font w:name="Yu Gothic UI Semilight">
    <w:panose1 w:val="020B04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43" w:usb2="00000009" w:usb3="00000000" w:csb0="400001FF" w:csb1="FFFF0000"/>
  </w:font>
  <w:font w:name="Arial Black">
    <w:panose1 w:val="020B0A04020102020204"/>
    <w:charset w:val="00"/>
    <w:family w:val="auto"/>
    <w:pitch w:val="default"/>
    <w:sig w:usb0="A00002AF" w:usb1="400078FB" w:usb2="00000000" w:usb3="00000000" w:csb0="6000009F" w:csb1="DFD70000"/>
  </w:font>
  <w:font w:name="Arvo">
    <w:panose1 w:val="02000000000000000000"/>
    <w:charset w:val="00"/>
    <w:family w:val="auto"/>
    <w:pitch w:val="default"/>
    <w:sig w:usb0="800000A7" w:usb1="00000041" w:usb2="00000000" w:usb3="00000000" w:csb0="20000111" w:csb1="40000000"/>
  </w:font>
  <w:font w:name="Axure Handwriting">
    <w:panose1 w:val="020B0402020200020204"/>
    <w:charset w:val="00"/>
    <w:family w:val="auto"/>
    <w:pitch w:val="default"/>
    <w:sig w:usb0="800000AF" w:usb1="4000204A" w:usb2="00000000" w:usb3="00000000" w:csb0="00000001" w:csb1="00000000"/>
  </w:font>
  <w:font w:name="Bookshelf Symbol 7">
    <w:panose1 w:val="05010101010101010101"/>
    <w:charset w:val="00"/>
    <w:family w:val="auto"/>
    <w:pitch w:val="default"/>
    <w:sig w:usb0="00000000" w:usb1="00000000" w:usb2="00000000" w:usb3="00000000" w:csb0="80000000" w:csb1="00000000"/>
  </w:font>
  <w:font w:name="Cambria Math">
    <w:panose1 w:val="02040503050406030204"/>
    <w:charset w:val="00"/>
    <w:family w:val="auto"/>
    <w:pitch w:val="default"/>
    <w:sig w:usb0="E00002FF" w:usb1="420024FF"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Droid Serif">
    <w:panose1 w:val="02020600060500020200"/>
    <w:charset w:val="00"/>
    <w:family w:val="auto"/>
    <w:pitch w:val="default"/>
    <w:sig w:usb0="E00002EF" w:usb1="4000205B" w:usb2="00000028" w:usb3="00000000" w:csb0="2000019F" w:csb1="00000000"/>
  </w:font>
  <w:font w:name="Franklin Gothic Medium">
    <w:panose1 w:val="020B06030201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Indie Flower">
    <w:panose1 w:val="02000000000000000000"/>
    <w:charset w:val="00"/>
    <w:family w:val="auto"/>
    <w:pitch w:val="default"/>
    <w:sig w:usb0="A000002F" w:usb1="5000004A" w:usb2="00000000" w:usb3="00000000" w:csb0="00000093" w:csb1="00000000"/>
  </w:font>
  <w:font w:name="Javanese Text">
    <w:panose1 w:val="02000000000000000000"/>
    <w:charset w:val="00"/>
    <w:family w:val="auto"/>
    <w:pitch w:val="default"/>
    <w:sig w:usb0="80000003" w:usb1="00002000" w:usb2="00000000" w:usb3="00000000" w:csb0="00000001" w:csb1="00000000"/>
  </w:font>
  <w:font w:name="jdIcoMoonFree">
    <w:panose1 w:val="00000000000000000000"/>
    <w:charset w:val="00"/>
    <w:family w:val="auto"/>
    <w:pitch w:val="default"/>
    <w:sig w:usb0="00000003" w:usb1="10000000" w:usb2="00000000" w:usb3="00000000" w:csb0="00000001" w:csb1="00000000"/>
  </w:font>
  <w:font w:name="JdIonicons">
    <w:panose1 w:val="02000603000000000000"/>
    <w:charset w:val="00"/>
    <w:family w:val="auto"/>
    <w:pitch w:val="default"/>
    <w:sig w:usb0="00000000" w:usb1="10000000" w:usb2="00000000" w:usb3="00000000" w:csb0="000000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 w:name="Lobster">
    <w:panose1 w:val="02000506000000020003"/>
    <w:charset w:val="00"/>
    <w:family w:val="auto"/>
    <w:pitch w:val="default"/>
    <w:sig w:usb0="A00002FF" w:usb1="5000205B" w:usb2="00000000" w:usb3="00000000" w:csb0="20000197" w:csb1="00000000"/>
  </w:font>
  <w:font w:name="Leelawadee UI">
    <w:panose1 w:val="020B0502040204020203"/>
    <w:charset w:val="00"/>
    <w:family w:val="auto"/>
    <w:pitch w:val="default"/>
    <w:sig w:usb0="83000003" w:usb1="00000000" w:usb2="00010000" w:usb3="00000001" w:csb0="00010101" w:csb1="00000000"/>
  </w:font>
  <w:font w:name="Constantia">
    <w:panose1 w:val="02030602050306030303"/>
    <w:charset w:val="00"/>
    <w:family w:val="auto"/>
    <w:pitch w:val="default"/>
    <w:sig w:usb0="A00002EF" w:usb1="4000204B" w:usb2="00000000" w:usb3="00000000" w:csb0="2000019F" w:csb1="00000000"/>
  </w:font>
  <w:font w:name="Yu Gothic">
    <w:panose1 w:val="020B0400000000000000"/>
    <w:charset w:val="80"/>
    <w:family w:val="auto"/>
    <w:pitch w:val="default"/>
    <w:sig w:usb0="E00002FF" w:usb1="2AC7FDFF" w:usb2="00000016" w:usb3="00000000" w:csb0="2002009F" w:csb1="00000000"/>
  </w:font>
  <w:font w:name="Calibri Light">
    <w:panose1 w:val="020F0302020204030204"/>
    <w:charset w:val="00"/>
    <w:family w:val="auto"/>
    <w:pitch w:val="default"/>
    <w:sig w:usb0="E0002AFF" w:usb1="C000247B" w:usb2="00000009" w:usb3="00000000" w:csb0="200001FF" w:csb1="00000000"/>
  </w:font>
  <w:font w:name="Meiryo UI">
    <w:altName w:val="MS UI Gothic"/>
    <w:panose1 w:val="020B0604030504040204"/>
    <w:charset w:val="80"/>
    <w:family w:val="auto"/>
    <w:pitch w:val="default"/>
    <w:sig w:usb0="00000000" w:usb1="00000000" w:usb2="00010012" w:usb3="00000000" w:csb0="6002009F" w:csb1="DFD70000"/>
  </w:font>
  <w:font w:name="Wide Latin">
    <w:altName w:val="Segoe Print"/>
    <w:panose1 w:val="020A0A07050505020404"/>
    <w:charset w:val="00"/>
    <w:family w:val="auto"/>
    <w:pitch w:val="default"/>
    <w:sig w:usb0="00000000" w:usb1="00000000" w:usb2="00000000" w:usb3="00000000" w:csb0="20000001" w:csb1="00000000"/>
  </w:font>
  <w:font w:name="Century Gothic">
    <w:altName w:val="Trebuchet MS"/>
    <w:panose1 w:val="020B0502020202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687" w:usb1="00000000" w:usb2="00000000" w:usb3="00000000" w:csb0="2000009F" w:csb1="00000000"/>
  </w:font>
  <w:font w:name="Leelawadee">
    <w:altName w:val="Lucida Sans Unicode"/>
    <w:panose1 w:val="020B0502040204020203"/>
    <w:charset w:val="00"/>
    <w:family w:val="auto"/>
    <w:pitch w:val="default"/>
    <w:sig w:usb0="00000000" w:usb1="00000000" w:usb2="00000000" w:usb3="00000000" w:csb0="2001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auto"/>
    <w:pitch w:val="default"/>
    <w:sig w:usb0="00000000" w:usb1="00000000" w:usb2="00000000" w:usb3="00000000" w:csb0="00040000" w:csb1="00000000"/>
  </w:font>
  <w:font w:name="PMingLiU">
    <w:altName w:val="PMingLiU-ExtB"/>
    <w:panose1 w:val="02020300000000000000"/>
    <w:charset w:val="88"/>
    <w:family w:val="auto"/>
    <w:pitch w:val="default"/>
    <w:sig w:usb0="00000000" w:usb1="00000000" w:usb2="00000016" w:usb3="00000000" w:csb0="00100001" w:csb1="00000000"/>
  </w:font>
  <w:font w:name="Verdana">
    <w:panose1 w:val="020B0604030504040204"/>
    <w:charset w:val="00"/>
    <w:family w:val="auto"/>
    <w:pitch w:val="default"/>
    <w:sig w:usb0="A1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B31F0"/>
    <w:rsid w:val="04400A3F"/>
    <w:rsid w:val="0A9B6D09"/>
    <w:rsid w:val="0AA821C6"/>
    <w:rsid w:val="0C284192"/>
    <w:rsid w:val="0CDE42A2"/>
    <w:rsid w:val="0E203ACE"/>
    <w:rsid w:val="1444551F"/>
    <w:rsid w:val="156F37D1"/>
    <w:rsid w:val="17AE36F2"/>
    <w:rsid w:val="1E12705B"/>
    <w:rsid w:val="1E4A7A78"/>
    <w:rsid w:val="1E8F77B2"/>
    <w:rsid w:val="1F143453"/>
    <w:rsid w:val="20A771C0"/>
    <w:rsid w:val="219618B5"/>
    <w:rsid w:val="255447EA"/>
    <w:rsid w:val="287D44C5"/>
    <w:rsid w:val="30304AEA"/>
    <w:rsid w:val="31232285"/>
    <w:rsid w:val="36641992"/>
    <w:rsid w:val="3A232792"/>
    <w:rsid w:val="3DC41F75"/>
    <w:rsid w:val="41F11119"/>
    <w:rsid w:val="42172486"/>
    <w:rsid w:val="42E37844"/>
    <w:rsid w:val="432B4027"/>
    <w:rsid w:val="4423388F"/>
    <w:rsid w:val="45D85C2D"/>
    <w:rsid w:val="465A6E36"/>
    <w:rsid w:val="485E4A4E"/>
    <w:rsid w:val="49A65C6A"/>
    <w:rsid w:val="49E15DF5"/>
    <w:rsid w:val="4D2554B2"/>
    <w:rsid w:val="5048051D"/>
    <w:rsid w:val="509C5EB1"/>
    <w:rsid w:val="52A300EB"/>
    <w:rsid w:val="53CA4BB1"/>
    <w:rsid w:val="54B2007C"/>
    <w:rsid w:val="55C17B59"/>
    <w:rsid w:val="560724B6"/>
    <w:rsid w:val="5F2C433D"/>
    <w:rsid w:val="5F435F10"/>
    <w:rsid w:val="5FFF1041"/>
    <w:rsid w:val="60443241"/>
    <w:rsid w:val="6181398C"/>
    <w:rsid w:val="61DF1AB3"/>
    <w:rsid w:val="65415E79"/>
    <w:rsid w:val="65E3789A"/>
    <w:rsid w:val="68333E03"/>
    <w:rsid w:val="683C62FC"/>
    <w:rsid w:val="69EE28AF"/>
    <w:rsid w:val="6C81477B"/>
    <w:rsid w:val="7101586F"/>
    <w:rsid w:val="72646244"/>
    <w:rsid w:val="73474EF7"/>
    <w:rsid w:val="79910DB9"/>
    <w:rsid w:val="7F671A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5">
    <w:name w:val="p0"/>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customStyle="1" w:styleId="6">
    <w:name w:val="16"/>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2017-11-02T03:29:27Z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